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C05DDE">
      <w:pPr>
        <w:ind w:firstLine="1368"/>
        <w:jc w:val="right"/>
        <w:rPr>
          <w:rFonts w:ascii="宋体" w:hAnsi="宋体" w:cs="宋体"/>
          <w:b/>
          <w:sz w:val="44"/>
          <w:szCs w:val="44"/>
        </w:rPr>
      </w:pPr>
      <w:bookmarkStart w:id="0" w:name="_Toc31743"/>
      <w:bookmarkStart w:id="1" w:name="_Toc18220"/>
      <w:bookmarkStart w:id="2" w:name="_Toc532545041"/>
      <w:bookmarkStart w:id="3" w:name="_Toc13126"/>
      <w:r>
        <w:rPr>
          <w:rFonts w:hint="eastAsia" w:ascii="宋体" w:hAnsi="宋体" w:cs="宋体"/>
          <w:b/>
          <w:sz w:val="44"/>
          <w:szCs w:val="44"/>
          <w:bdr w:val="single" w:color="auto" w:sz="4" w:space="0"/>
        </w:rPr>
        <w:t>电子版</w:t>
      </w:r>
    </w:p>
    <w:p w14:paraId="374FE3A8">
      <w:pPr>
        <w:tabs>
          <w:tab w:val="left" w:pos="1260"/>
        </w:tabs>
        <w:rPr>
          <w:rFonts w:ascii="宋体" w:hAnsi="宋体" w:cs="宋体"/>
          <w:b/>
          <w:spacing w:val="100"/>
          <w:w w:val="110"/>
          <w:kern w:val="0"/>
          <w:sz w:val="52"/>
          <w:szCs w:val="44"/>
        </w:rPr>
      </w:pPr>
    </w:p>
    <w:p w14:paraId="7F5B6EFA">
      <w:pPr>
        <w:jc w:val="center"/>
        <w:rPr>
          <w:rFonts w:ascii="宋体" w:hAnsi="宋体" w:cs="宋体"/>
          <w:b/>
          <w:sz w:val="44"/>
          <w:szCs w:val="44"/>
        </w:rPr>
      </w:pPr>
    </w:p>
    <w:p w14:paraId="043D8152">
      <w:pPr>
        <w:jc w:val="center"/>
        <w:rPr>
          <w:rFonts w:ascii="宋体" w:hAnsi="宋体" w:cs="宋体"/>
          <w:b/>
          <w:sz w:val="56"/>
          <w:szCs w:val="56"/>
        </w:rPr>
      </w:pPr>
    </w:p>
    <w:p w14:paraId="39FAF04B">
      <w:pPr>
        <w:jc w:val="center"/>
        <w:rPr>
          <w:rFonts w:ascii="宋体" w:hAnsi="宋体" w:cs="宋体"/>
          <w:b/>
          <w:sz w:val="56"/>
          <w:szCs w:val="56"/>
        </w:rPr>
      </w:pPr>
      <w:bookmarkStart w:id="8" w:name="_GoBack"/>
      <w:r>
        <w:rPr>
          <w:rFonts w:hint="eastAsia" w:ascii="宋体" w:hAnsi="宋体" w:cs="宋体"/>
          <w:b/>
          <w:sz w:val="56"/>
          <w:szCs w:val="56"/>
        </w:rPr>
        <w:t>采购需求问卷调查响应文件</w:t>
      </w:r>
    </w:p>
    <w:bookmarkEnd w:id="8"/>
    <w:p w14:paraId="7BFC31D9">
      <w:pPr>
        <w:jc w:val="center"/>
        <w:rPr>
          <w:rFonts w:ascii="宋体" w:hAnsi="宋体" w:cs="宋体"/>
          <w:b/>
          <w:sz w:val="52"/>
          <w:szCs w:val="52"/>
        </w:rPr>
      </w:pPr>
    </w:p>
    <w:p w14:paraId="0B9F536B">
      <w:pPr>
        <w:jc w:val="center"/>
        <w:rPr>
          <w:rFonts w:ascii="宋体" w:hAnsi="宋体" w:cs="宋体"/>
          <w:b/>
          <w:sz w:val="44"/>
          <w:szCs w:val="44"/>
        </w:rPr>
      </w:pPr>
    </w:p>
    <w:p w14:paraId="2801943D">
      <w:pPr>
        <w:jc w:val="center"/>
        <w:rPr>
          <w:rFonts w:ascii="宋体" w:hAnsi="宋体" w:cs="宋体"/>
          <w:b/>
          <w:sz w:val="44"/>
          <w:szCs w:val="44"/>
        </w:rPr>
      </w:pPr>
    </w:p>
    <w:p w14:paraId="057AFA61">
      <w:pPr>
        <w:jc w:val="center"/>
        <w:rPr>
          <w:rFonts w:ascii="宋体" w:hAnsi="宋体" w:cs="宋体"/>
          <w:b/>
          <w:sz w:val="44"/>
          <w:szCs w:val="44"/>
        </w:rPr>
      </w:pPr>
    </w:p>
    <w:p w14:paraId="68635B05">
      <w:pPr>
        <w:jc w:val="center"/>
        <w:rPr>
          <w:rFonts w:ascii="宋体" w:hAnsi="宋体" w:cs="宋体"/>
          <w:b/>
          <w:sz w:val="44"/>
          <w:szCs w:val="44"/>
        </w:rPr>
      </w:pPr>
    </w:p>
    <w:p w14:paraId="2B407BCD">
      <w:pPr>
        <w:spacing w:line="360" w:lineRule="auto"/>
        <w:jc w:val="center"/>
        <w:rPr>
          <w:rFonts w:ascii="宋体" w:hAnsi="宋体" w:cs="宋体"/>
          <w:b/>
          <w:sz w:val="28"/>
          <w:szCs w:val="28"/>
          <w:u w:val="single"/>
        </w:rPr>
      </w:pPr>
      <w:r>
        <w:rPr>
          <w:rFonts w:hint="eastAsia" w:ascii="宋体" w:hAnsi="宋体" w:cs="宋体"/>
          <w:b/>
          <w:sz w:val="28"/>
          <w:szCs w:val="28"/>
        </w:rPr>
        <w:t>项目名称：水利水电工程技术评估、评审</w:t>
      </w:r>
    </w:p>
    <w:p w14:paraId="5D35D046">
      <w:pPr>
        <w:spacing w:line="360" w:lineRule="auto"/>
        <w:ind w:firstLine="1439" w:firstLineChars="512"/>
        <w:rPr>
          <w:rFonts w:ascii="宋体" w:hAnsi="宋体" w:cs="宋体"/>
          <w:b/>
          <w:sz w:val="28"/>
          <w:szCs w:val="28"/>
        </w:rPr>
      </w:pPr>
    </w:p>
    <w:p w14:paraId="326B1A2E">
      <w:pPr>
        <w:spacing w:line="360" w:lineRule="auto"/>
        <w:ind w:firstLine="1439" w:firstLineChars="512"/>
        <w:rPr>
          <w:rFonts w:ascii="宋体" w:hAnsi="宋体" w:cs="宋体"/>
          <w:b/>
          <w:sz w:val="28"/>
          <w:szCs w:val="28"/>
        </w:rPr>
      </w:pPr>
    </w:p>
    <w:p w14:paraId="1A0435AF">
      <w:pPr>
        <w:keepNext/>
        <w:keepLines/>
        <w:numPr>
          <w:ilvl w:val="3"/>
          <w:numId w:val="0"/>
        </w:numPr>
        <w:tabs>
          <w:tab w:val="left" w:pos="851"/>
        </w:tabs>
        <w:spacing w:before="280" w:after="290" w:line="372" w:lineRule="auto"/>
        <w:outlineLvl w:val="3"/>
        <w:rPr>
          <w:rFonts w:ascii="Arial" w:hAnsi="Arial" w:eastAsia="黑体"/>
          <w:b/>
          <w:bCs/>
          <w:sz w:val="28"/>
          <w:szCs w:val="28"/>
        </w:rPr>
      </w:pPr>
    </w:p>
    <w:p w14:paraId="16C740E2">
      <w:pPr>
        <w:spacing w:line="360" w:lineRule="auto"/>
        <w:ind w:firstLine="1439" w:firstLineChars="512"/>
        <w:rPr>
          <w:rFonts w:ascii="宋体" w:hAnsi="宋体" w:cs="宋体"/>
          <w:b/>
          <w:sz w:val="28"/>
          <w:szCs w:val="28"/>
          <w:u w:val="single"/>
        </w:rPr>
      </w:pPr>
      <w:r>
        <w:rPr>
          <w:rFonts w:hint="eastAsia" w:ascii="宋体" w:hAnsi="宋体" w:cs="宋体"/>
          <w:b/>
          <w:sz w:val="28"/>
          <w:szCs w:val="28"/>
        </w:rPr>
        <w:t>供应商名称：</w:t>
      </w:r>
      <w:r>
        <w:rPr>
          <w:rFonts w:hint="eastAsia" w:ascii="宋体" w:hAnsi="宋体" w:cs="宋体"/>
          <w:b/>
          <w:sz w:val="28"/>
          <w:szCs w:val="28"/>
          <w:u w:val="single"/>
        </w:rPr>
        <w:t xml:space="preserve">                      （加盖公章）</w:t>
      </w:r>
    </w:p>
    <w:p w14:paraId="457565F2">
      <w:pPr>
        <w:autoSpaceDE w:val="0"/>
        <w:autoSpaceDN w:val="0"/>
        <w:spacing w:line="240" w:lineRule="atLeast"/>
        <w:ind w:firstLine="1439" w:firstLineChars="512"/>
        <w:rPr>
          <w:rFonts w:ascii="宋体" w:hAnsi="宋体" w:cs="宋体"/>
          <w:sz w:val="44"/>
          <w:szCs w:val="44"/>
        </w:rPr>
      </w:pPr>
      <w:r>
        <w:rPr>
          <w:rFonts w:hint="eastAsia" w:ascii="宋体" w:hAnsi="宋体" w:cs="宋体"/>
          <w:b/>
          <w:sz w:val="28"/>
          <w:szCs w:val="28"/>
        </w:rPr>
        <w:t>日      期：</w:t>
      </w:r>
      <w:r>
        <w:rPr>
          <w:rFonts w:hint="eastAsia" w:ascii="宋体" w:hAnsi="宋体" w:cs="宋体"/>
          <w:b/>
          <w:sz w:val="28"/>
          <w:szCs w:val="28"/>
          <w:u w:val="single"/>
        </w:rPr>
        <w:t xml:space="preserve"> 202</w:t>
      </w:r>
      <w:r>
        <w:rPr>
          <w:rFonts w:hint="eastAsia" w:ascii="宋体" w:hAnsi="宋体" w:cs="宋体"/>
          <w:b/>
          <w:sz w:val="28"/>
          <w:szCs w:val="28"/>
          <w:u w:val="single"/>
          <w:lang w:val="en-US" w:eastAsia="zh-CN"/>
        </w:rPr>
        <w:t>6</w:t>
      </w:r>
      <w:r>
        <w:rPr>
          <w:rFonts w:hint="eastAsia" w:ascii="宋体" w:hAnsi="宋体" w:cs="宋体"/>
          <w:b/>
          <w:sz w:val="28"/>
          <w:szCs w:val="28"/>
          <w:u w:val="single"/>
        </w:rPr>
        <w:t xml:space="preserve"> </w:t>
      </w:r>
      <w:r>
        <w:rPr>
          <w:rFonts w:hint="eastAsia" w:ascii="宋体" w:hAnsi="宋体" w:cs="宋体"/>
          <w:b/>
          <w:sz w:val="28"/>
          <w:szCs w:val="28"/>
        </w:rPr>
        <w:t>年</w:t>
      </w:r>
      <w:r>
        <w:rPr>
          <w:rFonts w:hint="eastAsia" w:ascii="宋体" w:hAnsi="宋体" w:cs="宋体"/>
          <w:b/>
          <w:sz w:val="28"/>
          <w:szCs w:val="28"/>
          <w:u w:val="single"/>
        </w:rPr>
        <w:t xml:space="preserve">     </w:t>
      </w:r>
      <w:r>
        <w:rPr>
          <w:rFonts w:hint="eastAsia" w:ascii="宋体" w:hAnsi="宋体" w:cs="宋体"/>
          <w:b/>
          <w:sz w:val="28"/>
          <w:szCs w:val="28"/>
        </w:rPr>
        <w:t>月</w:t>
      </w:r>
      <w:r>
        <w:rPr>
          <w:rFonts w:hint="eastAsia" w:ascii="宋体" w:hAnsi="宋体" w:cs="宋体"/>
          <w:b/>
          <w:sz w:val="28"/>
          <w:szCs w:val="28"/>
          <w:u w:val="single"/>
        </w:rPr>
        <w:t xml:space="preserve">     </w:t>
      </w:r>
      <w:r>
        <w:rPr>
          <w:rFonts w:hint="eastAsia" w:ascii="宋体" w:hAnsi="宋体" w:cs="宋体"/>
          <w:b/>
          <w:sz w:val="28"/>
          <w:szCs w:val="28"/>
        </w:rPr>
        <w:t>日</w:t>
      </w:r>
    </w:p>
    <w:p w14:paraId="39847108">
      <w:pPr>
        <w:jc w:val="center"/>
        <w:rPr>
          <w:rFonts w:ascii="宋体" w:hAnsi="宋体" w:cs="宋体"/>
          <w:b/>
          <w:bCs/>
          <w:sz w:val="44"/>
          <w:szCs w:val="44"/>
        </w:rPr>
        <w:sectPr>
          <w:pgSz w:w="11906" w:h="16838"/>
          <w:pgMar w:top="1440" w:right="1800" w:bottom="1440" w:left="1800" w:header="851" w:footer="992" w:gutter="0"/>
          <w:cols w:space="720" w:num="1"/>
          <w:docGrid w:type="lines" w:linePitch="312" w:charSpace="0"/>
        </w:sectPr>
      </w:pPr>
    </w:p>
    <w:p w14:paraId="78A07E97">
      <w:pPr>
        <w:jc w:val="center"/>
        <w:rPr>
          <w:rFonts w:ascii="宋体" w:hAnsi="宋体" w:cs="宋体"/>
          <w:b/>
          <w:bCs/>
          <w:sz w:val="44"/>
          <w:szCs w:val="44"/>
        </w:rPr>
      </w:pPr>
      <w:r>
        <w:rPr>
          <w:rFonts w:hint="eastAsia" w:ascii="宋体" w:hAnsi="宋体" w:cs="宋体"/>
          <w:b/>
          <w:bCs/>
          <w:sz w:val="44"/>
          <w:szCs w:val="44"/>
        </w:rPr>
        <w:t>目  录</w:t>
      </w:r>
    </w:p>
    <w:p w14:paraId="74385C1C">
      <w:pPr>
        <w:spacing w:before="25" w:after="25"/>
        <w:jc w:val="left"/>
        <w:rPr>
          <w:rFonts w:ascii="宋体" w:hAnsi="宋体" w:cs="宋体"/>
          <w:b/>
          <w:bCs/>
          <w:spacing w:val="10"/>
          <w:kern w:val="0"/>
          <w:sz w:val="44"/>
          <w:szCs w:val="44"/>
        </w:rPr>
      </w:pPr>
    </w:p>
    <w:p w14:paraId="3E89CA04">
      <w:pPr>
        <w:tabs>
          <w:tab w:val="right" w:leader="dot" w:pos="8306"/>
        </w:tabs>
        <w:spacing w:line="480" w:lineRule="auto"/>
        <w:rPr>
          <w:rFonts w:ascii="宋体" w:hAnsi="宋体" w:cs="宋体"/>
          <w:b/>
          <w:bCs/>
          <w:sz w:val="28"/>
          <w:szCs w:val="28"/>
        </w:rPr>
      </w:pPr>
      <w:r>
        <w:rPr>
          <w:rFonts w:hint="eastAsia" w:ascii="宋体" w:hAnsi="宋体" w:cs="宋体"/>
          <w:b/>
          <w:bCs/>
          <w:sz w:val="28"/>
          <w:szCs w:val="28"/>
        </w:rPr>
        <w:t>一、</w:t>
      </w:r>
      <w:r>
        <w:rPr>
          <w:rFonts w:hint="eastAsia" w:ascii="Cambria" w:hAnsi="Cambria"/>
          <w:b/>
          <w:bCs/>
          <w:sz w:val="28"/>
          <w:szCs w:val="28"/>
        </w:rPr>
        <w:t>参与需求调查的主体市场基本情况表</w:t>
      </w:r>
      <w:r>
        <w:rPr>
          <w:rFonts w:hint="eastAsia" w:ascii="宋体" w:hAnsi="宋体" w:cs="宋体"/>
          <w:b/>
          <w:bCs/>
          <w:sz w:val="28"/>
          <w:szCs w:val="28"/>
        </w:rPr>
        <w:tab/>
      </w:r>
    </w:p>
    <w:p w14:paraId="3987D208">
      <w:pPr>
        <w:tabs>
          <w:tab w:val="right" w:leader="dot" w:pos="8306"/>
        </w:tabs>
        <w:spacing w:line="480" w:lineRule="auto"/>
        <w:rPr>
          <w:rFonts w:ascii="宋体" w:hAnsi="宋体" w:cs="宋体"/>
          <w:b/>
          <w:bCs/>
          <w:sz w:val="28"/>
          <w:szCs w:val="28"/>
        </w:rPr>
      </w:pPr>
      <w:r>
        <w:rPr>
          <w:rFonts w:hint="eastAsia" w:ascii="宋体" w:hAnsi="宋体" w:cs="宋体"/>
          <w:b/>
          <w:bCs/>
          <w:sz w:val="28"/>
          <w:szCs w:val="28"/>
        </w:rPr>
        <w:t>二、营业执照</w:t>
      </w:r>
      <w:r>
        <w:rPr>
          <w:rFonts w:hint="eastAsia" w:ascii="宋体" w:hAnsi="宋体" w:cs="宋体"/>
          <w:b/>
          <w:bCs/>
          <w:sz w:val="28"/>
          <w:szCs w:val="28"/>
        </w:rPr>
        <w:tab/>
      </w:r>
    </w:p>
    <w:p w14:paraId="0383BD3A">
      <w:pPr>
        <w:tabs>
          <w:tab w:val="right" w:leader="dot" w:pos="8306"/>
        </w:tabs>
        <w:spacing w:line="480" w:lineRule="auto"/>
        <w:rPr>
          <w:rFonts w:hint="eastAsia" w:ascii="宋体" w:hAnsi="宋体" w:cs="宋体"/>
          <w:b/>
          <w:bCs/>
          <w:sz w:val="28"/>
          <w:szCs w:val="28"/>
        </w:rPr>
      </w:pPr>
      <w:r>
        <w:rPr>
          <w:rFonts w:hint="eastAsia" w:ascii="宋体" w:hAnsi="宋体" w:cs="宋体"/>
          <w:b/>
          <w:bCs/>
          <w:sz w:val="28"/>
          <w:szCs w:val="28"/>
        </w:rPr>
        <w:t>三、采购需求合理化意见或建议</w:t>
      </w:r>
      <w:r>
        <w:rPr>
          <w:rFonts w:hint="eastAsia" w:ascii="宋体" w:hAnsi="宋体" w:cs="宋体"/>
          <w:b/>
          <w:bCs/>
          <w:sz w:val="28"/>
          <w:szCs w:val="28"/>
        </w:rPr>
        <w:tab/>
      </w:r>
    </w:p>
    <w:p w14:paraId="549E3BF7">
      <w:pPr>
        <w:tabs>
          <w:tab w:val="right" w:leader="dot" w:pos="8306"/>
        </w:tabs>
        <w:spacing w:line="480" w:lineRule="auto"/>
        <w:rPr>
          <w:rFonts w:hint="eastAsia" w:ascii="宋体" w:hAnsi="宋体" w:cs="宋体"/>
          <w:b/>
          <w:bCs/>
          <w:sz w:val="28"/>
          <w:szCs w:val="28"/>
        </w:rPr>
      </w:pPr>
      <w:r>
        <w:rPr>
          <w:rFonts w:hint="eastAsia" w:ascii="宋体" w:hAnsi="宋体" w:cs="宋体"/>
          <w:b/>
          <w:bCs/>
          <w:sz w:val="28"/>
          <w:szCs w:val="28"/>
        </w:rPr>
        <w:t>四、相关产业发展情况</w:t>
      </w:r>
      <w:r>
        <w:rPr>
          <w:rFonts w:hint="eastAsia" w:ascii="宋体" w:hAnsi="宋体" w:cs="宋体"/>
          <w:b/>
          <w:bCs/>
          <w:sz w:val="28"/>
          <w:szCs w:val="28"/>
        </w:rPr>
        <w:tab/>
      </w:r>
    </w:p>
    <w:p w14:paraId="7F5E3F35">
      <w:pPr>
        <w:tabs>
          <w:tab w:val="right" w:leader="dot" w:pos="8306"/>
        </w:tabs>
        <w:spacing w:line="480" w:lineRule="auto"/>
        <w:rPr>
          <w:rFonts w:hint="eastAsia" w:ascii="宋体" w:hAnsi="宋体" w:cs="宋体"/>
          <w:b/>
          <w:bCs/>
          <w:sz w:val="28"/>
          <w:szCs w:val="28"/>
        </w:rPr>
      </w:pPr>
      <w:r>
        <w:rPr>
          <w:rFonts w:hint="eastAsia" w:ascii="宋体" w:hAnsi="宋体" w:cs="宋体"/>
          <w:b/>
          <w:bCs/>
          <w:sz w:val="28"/>
          <w:szCs w:val="28"/>
        </w:rPr>
        <w:t>五、市场供给情况</w:t>
      </w:r>
      <w:r>
        <w:rPr>
          <w:rFonts w:hint="eastAsia" w:ascii="宋体" w:hAnsi="宋体" w:cs="宋体"/>
          <w:b/>
          <w:bCs/>
          <w:sz w:val="28"/>
          <w:szCs w:val="28"/>
        </w:rPr>
        <w:tab/>
      </w:r>
    </w:p>
    <w:p w14:paraId="2AFA09DB">
      <w:pPr>
        <w:tabs>
          <w:tab w:val="right" w:leader="dot" w:pos="8306"/>
        </w:tabs>
        <w:spacing w:line="480" w:lineRule="auto"/>
        <w:rPr>
          <w:rFonts w:hint="eastAsia" w:ascii="宋体" w:hAnsi="宋体" w:cs="宋体"/>
          <w:b/>
          <w:bCs/>
          <w:sz w:val="28"/>
          <w:szCs w:val="28"/>
        </w:rPr>
      </w:pPr>
      <w:r>
        <w:rPr>
          <w:rFonts w:hint="eastAsia" w:ascii="宋体" w:hAnsi="宋体" w:cs="宋体"/>
          <w:b/>
          <w:bCs/>
          <w:sz w:val="28"/>
          <w:szCs w:val="28"/>
        </w:rPr>
        <w:t>六、同类采购项目历史成交信息</w:t>
      </w:r>
      <w:r>
        <w:rPr>
          <w:rFonts w:hint="eastAsia" w:ascii="宋体" w:hAnsi="宋体" w:cs="宋体"/>
          <w:b/>
          <w:bCs/>
          <w:sz w:val="28"/>
          <w:szCs w:val="28"/>
        </w:rPr>
        <w:tab/>
      </w:r>
    </w:p>
    <w:p w14:paraId="1539AC32">
      <w:pPr>
        <w:tabs>
          <w:tab w:val="right" w:leader="dot" w:pos="8306"/>
        </w:tabs>
        <w:spacing w:line="480" w:lineRule="auto"/>
        <w:rPr>
          <w:rFonts w:hint="eastAsia" w:ascii="宋体" w:hAnsi="宋体" w:cs="宋体"/>
          <w:b/>
          <w:bCs/>
          <w:sz w:val="28"/>
          <w:szCs w:val="28"/>
        </w:rPr>
      </w:pPr>
      <w:r>
        <w:rPr>
          <w:rFonts w:hint="eastAsia" w:ascii="宋体" w:hAnsi="宋体" w:cs="宋体"/>
          <w:b/>
          <w:bCs/>
          <w:sz w:val="28"/>
          <w:szCs w:val="28"/>
        </w:rPr>
        <w:t>七、可能涉及的服务内容、服务标准、技术保障、服务人员组成、服务交付或者实施的地域范围，以及所涉及的服务工作量的计量方式等</w:t>
      </w:r>
      <w:r>
        <w:rPr>
          <w:rFonts w:hint="eastAsia" w:ascii="宋体" w:hAnsi="宋体" w:cs="宋体"/>
          <w:b/>
          <w:bCs/>
          <w:sz w:val="28"/>
          <w:szCs w:val="28"/>
        </w:rPr>
        <w:tab/>
      </w:r>
    </w:p>
    <w:p w14:paraId="7F513200">
      <w:pPr>
        <w:tabs>
          <w:tab w:val="right" w:leader="dot" w:pos="8306"/>
        </w:tabs>
        <w:spacing w:line="480" w:lineRule="auto"/>
        <w:rPr>
          <w:rFonts w:hint="eastAsia" w:ascii="宋体" w:hAnsi="宋体" w:cs="宋体"/>
          <w:b/>
          <w:bCs/>
          <w:sz w:val="28"/>
          <w:szCs w:val="28"/>
        </w:rPr>
      </w:pPr>
      <w:r>
        <w:rPr>
          <w:rFonts w:hint="eastAsia" w:ascii="宋体" w:hAnsi="宋体" w:cs="宋体"/>
          <w:b/>
          <w:bCs/>
          <w:sz w:val="28"/>
          <w:szCs w:val="28"/>
        </w:rPr>
        <w:t>八、报价表</w:t>
      </w:r>
      <w:r>
        <w:rPr>
          <w:rFonts w:hint="eastAsia" w:ascii="宋体" w:hAnsi="宋体" w:cs="宋体"/>
          <w:b/>
          <w:bCs/>
          <w:sz w:val="28"/>
          <w:szCs w:val="28"/>
        </w:rPr>
        <w:tab/>
      </w:r>
    </w:p>
    <w:p w14:paraId="5D0F8B12">
      <w:pPr>
        <w:tabs>
          <w:tab w:val="right" w:leader="dot" w:pos="8306"/>
        </w:tabs>
        <w:spacing w:line="480" w:lineRule="auto"/>
        <w:rPr>
          <w:rFonts w:hint="eastAsia" w:ascii="宋体" w:hAnsi="宋体" w:cs="宋体"/>
          <w:b/>
          <w:bCs/>
          <w:sz w:val="28"/>
          <w:szCs w:val="28"/>
        </w:rPr>
      </w:pPr>
      <w:r>
        <w:rPr>
          <w:rFonts w:hint="eastAsia" w:ascii="宋体" w:hAnsi="宋体" w:cs="宋体"/>
          <w:b/>
          <w:bCs/>
          <w:sz w:val="28"/>
          <w:szCs w:val="28"/>
        </w:rPr>
        <w:t>九、其他相关情况</w:t>
      </w:r>
      <w:r>
        <w:rPr>
          <w:rFonts w:hint="eastAsia" w:ascii="宋体" w:hAnsi="宋体" w:cs="宋体"/>
          <w:b/>
          <w:bCs/>
          <w:sz w:val="28"/>
          <w:szCs w:val="28"/>
        </w:rPr>
        <w:tab/>
      </w:r>
    </w:p>
    <w:p w14:paraId="17B088F8">
      <w:pPr>
        <w:spacing w:line="480" w:lineRule="auto"/>
        <w:jc w:val="center"/>
        <w:outlineLvl w:val="1"/>
        <w:rPr>
          <w:rFonts w:ascii="宋体" w:hAnsi="宋体" w:cs="宋体"/>
          <w:b/>
          <w:bCs/>
          <w:sz w:val="24"/>
        </w:rPr>
      </w:pPr>
    </w:p>
    <w:p w14:paraId="6602C390">
      <w:pPr>
        <w:jc w:val="center"/>
        <w:outlineLvl w:val="1"/>
        <w:rPr>
          <w:rFonts w:ascii="宋体" w:hAnsi="宋体" w:cs="宋体"/>
          <w:b/>
          <w:sz w:val="36"/>
          <w:szCs w:val="36"/>
        </w:rPr>
        <w:sectPr>
          <w:footerReference r:id="rId3" w:type="default"/>
          <w:pgSz w:w="11906" w:h="16838"/>
          <w:pgMar w:top="1418" w:right="1418" w:bottom="1418" w:left="1418" w:header="851" w:footer="992" w:gutter="0"/>
          <w:pgNumType w:start="1"/>
          <w:cols w:space="720" w:num="1"/>
          <w:docGrid w:type="lines" w:linePitch="312" w:charSpace="0"/>
        </w:sectPr>
      </w:pPr>
    </w:p>
    <w:p w14:paraId="57FDEA08">
      <w:pPr>
        <w:pStyle w:val="8"/>
        <w:spacing w:before="0" w:after="0" w:line="360" w:lineRule="auto"/>
        <w:rPr>
          <w:rFonts w:hint="eastAsia"/>
        </w:rPr>
      </w:pPr>
      <w:bookmarkStart w:id="4" w:name="_Toc3224"/>
      <w:r>
        <w:rPr>
          <w:rFonts w:hint="eastAsia"/>
        </w:rPr>
        <w:t>一、参与需求调查的主体市场基本情况表</w:t>
      </w:r>
    </w:p>
    <w:p w14:paraId="7DFADEE1">
      <w:pPr>
        <w:rPr>
          <w:rFonts w:hint="eastAsia"/>
        </w:rPr>
      </w:pP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55"/>
        <w:gridCol w:w="6636"/>
      </w:tblGrid>
      <w:tr w14:paraId="6F6FC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0" w:hRule="atLeast"/>
          <w:jc w:val="center"/>
        </w:trPr>
        <w:tc>
          <w:tcPr>
            <w:tcW w:w="2755" w:type="dxa"/>
            <w:noWrap w:val="0"/>
            <w:vAlign w:val="center"/>
          </w:tcPr>
          <w:p w14:paraId="0F7CE23B">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单位名称</w:t>
            </w:r>
          </w:p>
        </w:tc>
        <w:tc>
          <w:tcPr>
            <w:tcW w:w="6636" w:type="dxa"/>
            <w:noWrap w:val="0"/>
            <w:vAlign w:val="center"/>
          </w:tcPr>
          <w:p w14:paraId="6DDF8A14">
            <w:pPr>
              <w:spacing w:line="360" w:lineRule="auto"/>
              <w:jc w:val="center"/>
              <w:rPr>
                <w:rFonts w:hint="eastAsia" w:hAnsi="宋体" w:cs="宋体"/>
                <w:kern w:val="0"/>
                <w:sz w:val="28"/>
                <w:szCs w:val="28"/>
              </w:rPr>
            </w:pPr>
          </w:p>
        </w:tc>
      </w:tr>
      <w:tr w14:paraId="5C417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0" w:hRule="atLeast"/>
          <w:jc w:val="center"/>
        </w:trPr>
        <w:tc>
          <w:tcPr>
            <w:tcW w:w="2755" w:type="dxa"/>
            <w:noWrap w:val="0"/>
            <w:vAlign w:val="center"/>
          </w:tcPr>
          <w:p w14:paraId="5288AB52">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法定代表人</w:t>
            </w:r>
          </w:p>
          <w:p w14:paraId="30D280F9">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（单位负责人）姓名</w:t>
            </w:r>
          </w:p>
        </w:tc>
        <w:tc>
          <w:tcPr>
            <w:tcW w:w="6636" w:type="dxa"/>
            <w:noWrap w:val="0"/>
            <w:vAlign w:val="center"/>
          </w:tcPr>
          <w:p w14:paraId="5835A8F5">
            <w:pPr>
              <w:spacing w:line="360" w:lineRule="auto"/>
              <w:jc w:val="center"/>
              <w:rPr>
                <w:rFonts w:hint="eastAsia" w:hAnsi="宋体" w:cs="宋体"/>
                <w:kern w:val="0"/>
                <w:sz w:val="28"/>
                <w:szCs w:val="28"/>
              </w:rPr>
            </w:pPr>
          </w:p>
        </w:tc>
      </w:tr>
      <w:tr w14:paraId="7A0AA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755" w:type="dxa"/>
            <w:noWrap w:val="0"/>
            <w:vAlign w:val="center"/>
          </w:tcPr>
          <w:p w14:paraId="6960F46E">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成立时间</w:t>
            </w:r>
          </w:p>
        </w:tc>
        <w:tc>
          <w:tcPr>
            <w:tcW w:w="6636" w:type="dxa"/>
            <w:noWrap w:val="0"/>
            <w:vAlign w:val="center"/>
          </w:tcPr>
          <w:p w14:paraId="3735A616">
            <w:pPr>
              <w:spacing w:line="360" w:lineRule="auto"/>
              <w:jc w:val="center"/>
              <w:rPr>
                <w:rFonts w:hint="eastAsia" w:hAnsi="宋体" w:cs="宋体"/>
                <w:kern w:val="0"/>
                <w:sz w:val="28"/>
                <w:szCs w:val="28"/>
              </w:rPr>
            </w:pPr>
          </w:p>
        </w:tc>
      </w:tr>
      <w:tr w14:paraId="7B68D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755" w:type="dxa"/>
            <w:noWrap w:val="0"/>
            <w:vAlign w:val="center"/>
          </w:tcPr>
          <w:p w14:paraId="7CB8E1D1">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联系人</w:t>
            </w:r>
          </w:p>
        </w:tc>
        <w:tc>
          <w:tcPr>
            <w:tcW w:w="6636" w:type="dxa"/>
            <w:noWrap w:val="0"/>
            <w:vAlign w:val="center"/>
          </w:tcPr>
          <w:p w14:paraId="7CF47FA3">
            <w:pPr>
              <w:spacing w:line="360" w:lineRule="auto"/>
              <w:jc w:val="center"/>
              <w:rPr>
                <w:rFonts w:hint="eastAsia" w:hAnsi="宋体" w:cs="宋体"/>
                <w:kern w:val="0"/>
                <w:sz w:val="28"/>
                <w:szCs w:val="28"/>
              </w:rPr>
            </w:pPr>
          </w:p>
        </w:tc>
      </w:tr>
      <w:tr w14:paraId="4AC9A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755" w:type="dxa"/>
            <w:noWrap w:val="0"/>
            <w:vAlign w:val="center"/>
          </w:tcPr>
          <w:p w14:paraId="6DEC4376">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联系电话</w:t>
            </w:r>
          </w:p>
        </w:tc>
        <w:tc>
          <w:tcPr>
            <w:tcW w:w="6636" w:type="dxa"/>
            <w:noWrap w:val="0"/>
            <w:vAlign w:val="center"/>
          </w:tcPr>
          <w:p w14:paraId="56BF2B73">
            <w:pPr>
              <w:spacing w:line="360" w:lineRule="auto"/>
              <w:jc w:val="center"/>
              <w:rPr>
                <w:rFonts w:hint="eastAsia" w:hAnsi="宋体" w:cs="宋体"/>
                <w:kern w:val="0"/>
                <w:sz w:val="28"/>
                <w:szCs w:val="28"/>
              </w:rPr>
            </w:pPr>
          </w:p>
        </w:tc>
      </w:tr>
      <w:tr w14:paraId="32602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5" w:hRule="atLeast"/>
          <w:jc w:val="center"/>
        </w:trPr>
        <w:tc>
          <w:tcPr>
            <w:tcW w:w="2755" w:type="dxa"/>
            <w:noWrap w:val="0"/>
            <w:vAlign w:val="center"/>
          </w:tcPr>
          <w:p w14:paraId="660E2455">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与本项目采购需求</w:t>
            </w:r>
          </w:p>
          <w:p w14:paraId="2732D57A">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相关的资质证书</w:t>
            </w:r>
          </w:p>
        </w:tc>
        <w:tc>
          <w:tcPr>
            <w:tcW w:w="6636" w:type="dxa"/>
            <w:noWrap w:val="0"/>
            <w:vAlign w:val="center"/>
          </w:tcPr>
          <w:p w14:paraId="24428A1F">
            <w:pPr>
              <w:spacing w:line="360" w:lineRule="auto"/>
              <w:rPr>
                <w:rFonts w:hint="eastAsia" w:hAnsi="宋体" w:cs="宋体"/>
                <w:kern w:val="0"/>
                <w:sz w:val="28"/>
                <w:szCs w:val="28"/>
              </w:rPr>
            </w:pPr>
            <w:r>
              <w:rPr>
                <w:rFonts w:hint="eastAsia" w:hAnsi="宋体" w:cs="宋体"/>
                <w:bCs/>
                <w:kern w:val="0"/>
                <w:sz w:val="24"/>
              </w:rPr>
              <w:t>如有请罗列证书名称：</w:t>
            </w:r>
          </w:p>
        </w:tc>
      </w:tr>
      <w:tr w14:paraId="78061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0" w:hRule="atLeast"/>
          <w:jc w:val="center"/>
        </w:trPr>
        <w:tc>
          <w:tcPr>
            <w:tcW w:w="2755" w:type="dxa"/>
            <w:noWrap w:val="0"/>
            <w:vAlign w:val="center"/>
          </w:tcPr>
          <w:p w14:paraId="051BAE59">
            <w:pPr>
              <w:tabs>
                <w:tab w:val="left" w:pos="540"/>
              </w:tabs>
              <w:spacing w:line="360" w:lineRule="auto"/>
              <w:ind w:left="-132" w:leftChars="-64" w:right="-105" w:rightChars="-50" w:hanging="2"/>
              <w:jc w:val="center"/>
              <w:rPr>
                <w:rFonts w:hint="eastAsia" w:hAnsi="宋体" w:cs="宋体"/>
                <w:bCs/>
                <w:kern w:val="0"/>
                <w:sz w:val="24"/>
              </w:rPr>
            </w:pPr>
            <w:r>
              <w:rPr>
                <w:rFonts w:hint="eastAsia" w:hAnsi="宋体" w:cs="宋体"/>
                <w:bCs/>
                <w:kern w:val="0"/>
                <w:sz w:val="24"/>
              </w:rPr>
              <w:t>公司情况简介</w:t>
            </w:r>
          </w:p>
        </w:tc>
        <w:tc>
          <w:tcPr>
            <w:tcW w:w="6636" w:type="dxa"/>
            <w:noWrap w:val="0"/>
            <w:vAlign w:val="center"/>
          </w:tcPr>
          <w:p w14:paraId="7FE484C2">
            <w:pPr>
              <w:spacing w:line="360" w:lineRule="auto"/>
              <w:jc w:val="center"/>
              <w:rPr>
                <w:rFonts w:hint="eastAsia" w:hAnsi="宋体" w:cs="宋体"/>
                <w:kern w:val="0"/>
                <w:sz w:val="28"/>
                <w:szCs w:val="28"/>
              </w:rPr>
            </w:pPr>
          </w:p>
        </w:tc>
      </w:tr>
    </w:tbl>
    <w:p w14:paraId="04E6BD26">
      <w:pPr>
        <w:spacing w:line="360" w:lineRule="auto"/>
        <w:rPr>
          <w:rFonts w:hint="eastAsia" w:ascii="宋体" w:hAnsi="宋体" w:cs="宋体"/>
          <w:bCs/>
          <w:kern w:val="0"/>
          <w:sz w:val="24"/>
        </w:rPr>
      </w:pPr>
    </w:p>
    <w:p w14:paraId="1E3168DF">
      <w:pPr>
        <w:spacing w:line="360" w:lineRule="auto"/>
        <w:rPr>
          <w:rFonts w:hint="eastAsia" w:ascii="宋体" w:hAnsi="宋体" w:cs="宋体"/>
          <w:bCs/>
          <w:spacing w:val="10"/>
          <w:kern w:val="0"/>
          <w:sz w:val="24"/>
        </w:rPr>
      </w:pPr>
      <w:r>
        <w:rPr>
          <w:rFonts w:hint="eastAsia" w:ascii="宋体" w:hAnsi="宋体" w:cs="宋体"/>
          <w:bCs/>
          <w:kern w:val="0"/>
          <w:sz w:val="24"/>
        </w:rPr>
        <w:t>注：参与需求调查单位基本情况包括但不限于以上内容，各单位可根据实际情况增加详细的可体现企业实力、行业影响力、行业地位等内容。</w:t>
      </w:r>
      <w:r>
        <w:rPr>
          <w:rFonts w:hint="eastAsia" w:ascii="宋体" w:hAnsi="宋体" w:cs="宋体"/>
          <w:bCs/>
          <w:spacing w:val="10"/>
          <w:kern w:val="0"/>
          <w:sz w:val="24"/>
        </w:rPr>
        <w:br w:type="textWrapping"/>
      </w:r>
    </w:p>
    <w:p w14:paraId="2571E437">
      <w:pPr>
        <w:pStyle w:val="8"/>
        <w:spacing w:before="0" w:after="0" w:line="360" w:lineRule="auto"/>
        <w:rPr>
          <w:rFonts w:hint="eastAsia"/>
        </w:rPr>
      </w:pPr>
      <w:r>
        <w:rPr>
          <w:rFonts w:ascii="宋体" w:hAnsi="宋体" w:cs="宋体"/>
          <w:b w:val="0"/>
          <w:spacing w:val="10"/>
          <w:kern w:val="0"/>
        </w:rPr>
        <w:br w:type="page"/>
      </w:r>
      <w:r>
        <w:rPr>
          <w:rFonts w:hint="eastAsia"/>
        </w:rPr>
        <w:t>二、营业执照</w:t>
      </w:r>
    </w:p>
    <w:p w14:paraId="723B94C3">
      <w:pPr>
        <w:pStyle w:val="8"/>
        <w:spacing w:before="0" w:after="0" w:line="360" w:lineRule="auto"/>
        <w:rPr>
          <w:rFonts w:ascii="宋体" w:hAnsi="宋体" w:cs="宋体"/>
          <w:kern w:val="0"/>
          <w:sz w:val="28"/>
          <w:szCs w:val="28"/>
        </w:rPr>
      </w:pPr>
      <w:r>
        <w:rPr>
          <w:rFonts w:hint="eastAsia" w:ascii="宋体" w:hAnsi="宋体" w:cs="宋体"/>
          <w:spacing w:val="10"/>
          <w:kern w:val="0"/>
          <w:sz w:val="24"/>
        </w:rPr>
        <w:br w:type="page"/>
      </w:r>
      <w:r>
        <w:rPr>
          <w:rFonts w:hint="eastAsia"/>
        </w:rPr>
        <w:t>三、采购需求合理化意见或建议</w:t>
      </w:r>
      <w:r>
        <w:rPr>
          <w:rFonts w:hint="eastAsia"/>
        </w:rPr>
        <w:br w:type="textWrapping"/>
      </w:r>
    </w:p>
    <w:tbl>
      <w:tblPr>
        <w:tblStyle w:val="9"/>
        <w:tblW w:w="0" w:type="auto"/>
        <w:tblInd w:w="1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37"/>
      </w:tblGrid>
      <w:tr w14:paraId="4A6F8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trPr>
        <w:tc>
          <w:tcPr>
            <w:tcW w:w="9137" w:type="dxa"/>
            <w:noWrap w:val="0"/>
            <w:vAlign w:val="center"/>
          </w:tcPr>
          <w:p w14:paraId="37166276">
            <w:pPr>
              <w:spacing w:line="500" w:lineRule="exact"/>
              <w:jc w:val="center"/>
              <w:rPr>
                <w:rFonts w:hAnsi="宋体" w:cs="宋体"/>
                <w:kern w:val="0"/>
                <w:sz w:val="28"/>
                <w:szCs w:val="28"/>
              </w:rPr>
            </w:pPr>
            <w:r>
              <w:rPr>
                <w:rFonts w:hint="eastAsia" w:hAnsi="宋体" w:cs="宋体"/>
                <w:b/>
                <w:bCs/>
                <w:kern w:val="0"/>
                <w:sz w:val="28"/>
                <w:szCs w:val="28"/>
              </w:rPr>
              <w:t>对采购需求提出的意见或建议</w:t>
            </w:r>
          </w:p>
        </w:tc>
      </w:tr>
      <w:tr w14:paraId="64F3C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4" w:hRule="atLeast"/>
        </w:trPr>
        <w:tc>
          <w:tcPr>
            <w:tcW w:w="9137" w:type="dxa"/>
            <w:noWrap w:val="0"/>
            <w:vAlign w:val="top"/>
          </w:tcPr>
          <w:p w14:paraId="367B9678">
            <w:pPr>
              <w:spacing w:line="500" w:lineRule="exact"/>
              <w:jc w:val="left"/>
              <w:rPr>
                <w:rFonts w:hAnsi="宋体" w:cs="宋体"/>
                <w:kern w:val="0"/>
                <w:sz w:val="28"/>
                <w:szCs w:val="28"/>
              </w:rPr>
            </w:pPr>
          </w:p>
        </w:tc>
      </w:tr>
    </w:tbl>
    <w:p w14:paraId="6758A41A">
      <w:pPr>
        <w:spacing w:line="360" w:lineRule="auto"/>
        <w:rPr>
          <w:rFonts w:hint="eastAsia" w:ascii="宋体" w:hAnsi="宋体" w:cs="宋体"/>
          <w:bCs/>
          <w:spacing w:val="10"/>
          <w:kern w:val="0"/>
          <w:sz w:val="24"/>
        </w:rPr>
      </w:pPr>
    </w:p>
    <w:p w14:paraId="1A70B89E">
      <w:pPr>
        <w:spacing w:line="360" w:lineRule="auto"/>
        <w:rPr>
          <w:rFonts w:ascii="宋体" w:hAnsi="宋体" w:cs="宋体"/>
          <w:bCs/>
          <w:spacing w:val="10"/>
          <w:kern w:val="0"/>
          <w:sz w:val="24"/>
        </w:rPr>
      </w:pPr>
      <w:r>
        <w:rPr>
          <w:rFonts w:hint="eastAsia" w:ascii="宋体" w:hAnsi="宋体" w:cs="宋体"/>
          <w:bCs/>
          <w:spacing w:val="10"/>
          <w:kern w:val="0"/>
          <w:sz w:val="24"/>
        </w:rPr>
        <w:t>注：采购需求详见附件1。</w:t>
      </w:r>
    </w:p>
    <w:p w14:paraId="616E50A4">
      <w:pPr>
        <w:pStyle w:val="8"/>
        <w:spacing w:before="0" w:after="0" w:line="360" w:lineRule="auto"/>
        <w:rPr>
          <w:rFonts w:hint="eastAsia"/>
        </w:rPr>
      </w:pPr>
      <w:r>
        <w:br w:type="page"/>
      </w:r>
      <w:r>
        <w:rPr>
          <w:rFonts w:hint="eastAsia"/>
        </w:rPr>
        <w:t>四、相关产业发展情况</w:t>
      </w:r>
    </w:p>
    <w:p w14:paraId="3BFA6604">
      <w:pPr>
        <w:widowControl/>
        <w:spacing w:line="360" w:lineRule="auto"/>
        <w:jc w:val="center"/>
        <w:rPr>
          <w:rFonts w:hint="eastAsia" w:ascii="宋体" w:hAnsi="宋体" w:cs="宋体"/>
          <w:kern w:val="0"/>
          <w:sz w:val="24"/>
        </w:rPr>
      </w:pPr>
    </w:p>
    <w:p w14:paraId="7B221A4C">
      <w:pPr>
        <w:widowControl/>
        <w:spacing w:line="360" w:lineRule="auto"/>
        <w:jc w:val="center"/>
        <w:rPr>
          <w:rFonts w:hint="eastAsia" w:ascii="宋体" w:hAnsi="宋体" w:cs="宋体"/>
          <w:kern w:val="0"/>
          <w:sz w:val="24"/>
        </w:rPr>
      </w:pPr>
      <w:r>
        <w:rPr>
          <w:rFonts w:hint="eastAsia" w:ascii="宋体" w:hAnsi="宋体" w:cs="宋体"/>
          <w:kern w:val="0"/>
          <w:sz w:val="24"/>
        </w:rPr>
        <w:t>（从目前有无统一的国家标准，广西是否已经制定了类似的地方标准或商业标准等方面进行说明，阐述相关产业发展情况，内容自拟）</w:t>
      </w:r>
    </w:p>
    <w:p w14:paraId="2EE69181">
      <w:pPr>
        <w:spacing w:line="500" w:lineRule="exact"/>
        <w:jc w:val="left"/>
        <w:rPr>
          <w:rFonts w:ascii="宋体" w:hAnsi="宋体" w:cs="宋体"/>
          <w:kern w:val="0"/>
          <w:sz w:val="28"/>
          <w:szCs w:val="28"/>
        </w:rPr>
      </w:pPr>
    </w:p>
    <w:p w14:paraId="609CEA71">
      <w:pPr>
        <w:pStyle w:val="8"/>
        <w:spacing w:before="0" w:after="0" w:line="360" w:lineRule="auto"/>
        <w:rPr>
          <w:rFonts w:hint="eastAsia"/>
        </w:rPr>
      </w:pPr>
      <w:r>
        <w:rPr>
          <w:rFonts w:ascii="Calibri" w:hAnsi="Calibri"/>
        </w:rPr>
        <w:br w:type="page"/>
      </w:r>
      <w:r>
        <w:rPr>
          <w:rFonts w:hint="eastAsia"/>
        </w:rPr>
        <w:t>五、市场供给情况</w:t>
      </w:r>
    </w:p>
    <w:p w14:paraId="4F259DE8">
      <w:pPr>
        <w:widowControl/>
        <w:jc w:val="left"/>
        <w:rPr>
          <w:rFonts w:ascii="仿宋" w:hAnsi="仿宋" w:eastAsia="仿宋" w:cs="宋体"/>
          <w:kern w:val="0"/>
          <w:sz w:val="28"/>
          <w:szCs w:val="28"/>
        </w:rPr>
      </w:pPr>
    </w:p>
    <w:p w14:paraId="458CB89B">
      <w:pPr>
        <w:widowControl/>
        <w:spacing w:line="360" w:lineRule="auto"/>
        <w:jc w:val="center"/>
        <w:rPr>
          <w:rFonts w:hint="eastAsia" w:ascii="宋体" w:hAnsi="宋体" w:cs="宋体"/>
          <w:kern w:val="0"/>
          <w:sz w:val="24"/>
        </w:rPr>
      </w:pPr>
      <w:r>
        <w:rPr>
          <w:rFonts w:hint="eastAsia" w:ascii="宋体" w:hAnsi="宋体" w:cs="宋体"/>
          <w:kern w:val="0"/>
          <w:sz w:val="24"/>
        </w:rPr>
        <w:t>（从行业竞争情况、供应商服务质量，阐述市场供给情况，内容自拟）</w:t>
      </w:r>
    </w:p>
    <w:p w14:paraId="5B30AA20">
      <w:pPr>
        <w:pStyle w:val="8"/>
        <w:spacing w:before="0" w:after="0" w:line="360" w:lineRule="auto"/>
        <w:rPr>
          <w:rFonts w:hint="eastAsia"/>
        </w:rPr>
      </w:pPr>
      <w:r>
        <w:rPr>
          <w:rFonts w:ascii="Calibri" w:hAnsi="Calibri"/>
        </w:rPr>
        <w:br w:type="page"/>
      </w:r>
      <w:r>
        <w:rPr>
          <w:rFonts w:hint="eastAsia"/>
        </w:rPr>
        <w:t>六、同类采购项目历史成交信息</w:t>
      </w:r>
    </w:p>
    <w:p w14:paraId="1C8BE51C">
      <w:pPr>
        <w:rPr>
          <w:rFonts w:hint="eastAsia"/>
        </w:rPr>
      </w:pP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9"/>
        <w:gridCol w:w="2126"/>
        <w:gridCol w:w="1741"/>
        <w:gridCol w:w="1985"/>
        <w:gridCol w:w="1326"/>
        <w:gridCol w:w="1167"/>
      </w:tblGrid>
      <w:tr w14:paraId="2D09C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919" w:type="dxa"/>
            <w:noWrap w:val="0"/>
            <w:vAlign w:val="center"/>
          </w:tcPr>
          <w:p w14:paraId="011A7F30">
            <w:pPr>
              <w:spacing w:line="360" w:lineRule="auto"/>
              <w:jc w:val="center"/>
              <w:rPr>
                <w:rFonts w:hint="eastAsia" w:ascii="Calibri" w:hAnsi="Calibri"/>
                <w:sz w:val="24"/>
              </w:rPr>
            </w:pPr>
            <w:r>
              <w:rPr>
                <w:rFonts w:hint="eastAsia" w:ascii="Calibri" w:hAnsi="Calibri"/>
                <w:sz w:val="24"/>
              </w:rPr>
              <w:t>序号</w:t>
            </w:r>
          </w:p>
        </w:tc>
        <w:tc>
          <w:tcPr>
            <w:tcW w:w="2126" w:type="dxa"/>
            <w:noWrap w:val="0"/>
            <w:vAlign w:val="center"/>
          </w:tcPr>
          <w:p w14:paraId="5043B503">
            <w:pPr>
              <w:spacing w:line="360" w:lineRule="auto"/>
              <w:jc w:val="center"/>
              <w:rPr>
                <w:rFonts w:hint="eastAsia" w:ascii="Calibri" w:hAnsi="Calibri"/>
                <w:sz w:val="24"/>
              </w:rPr>
            </w:pPr>
            <w:r>
              <w:rPr>
                <w:rFonts w:hint="eastAsia" w:ascii="Calibri" w:hAnsi="Calibri"/>
                <w:sz w:val="24"/>
              </w:rPr>
              <w:t>项目名称</w:t>
            </w:r>
          </w:p>
        </w:tc>
        <w:tc>
          <w:tcPr>
            <w:tcW w:w="1741" w:type="dxa"/>
            <w:noWrap w:val="0"/>
            <w:vAlign w:val="center"/>
          </w:tcPr>
          <w:p w14:paraId="06D64356">
            <w:pPr>
              <w:spacing w:line="360" w:lineRule="auto"/>
              <w:jc w:val="center"/>
              <w:rPr>
                <w:rFonts w:hint="eastAsia" w:ascii="Calibri" w:hAnsi="Calibri"/>
                <w:sz w:val="24"/>
              </w:rPr>
            </w:pPr>
            <w:r>
              <w:rPr>
                <w:rFonts w:hint="eastAsia" w:ascii="Calibri" w:hAnsi="Calibri"/>
                <w:sz w:val="24"/>
              </w:rPr>
              <w:t>主要标的名称</w:t>
            </w:r>
          </w:p>
          <w:p w14:paraId="36350C8D">
            <w:pPr>
              <w:spacing w:line="360" w:lineRule="auto"/>
              <w:jc w:val="center"/>
              <w:rPr>
                <w:rFonts w:hint="eastAsia" w:ascii="Calibri" w:hAnsi="Calibri"/>
                <w:sz w:val="24"/>
              </w:rPr>
            </w:pPr>
            <w:r>
              <w:rPr>
                <w:rFonts w:hint="eastAsia" w:ascii="Calibri" w:hAnsi="Calibri"/>
                <w:sz w:val="24"/>
              </w:rPr>
              <w:t>及内容简述</w:t>
            </w:r>
          </w:p>
        </w:tc>
        <w:tc>
          <w:tcPr>
            <w:tcW w:w="1985" w:type="dxa"/>
            <w:noWrap w:val="0"/>
            <w:vAlign w:val="center"/>
          </w:tcPr>
          <w:p w14:paraId="4CD298B7">
            <w:pPr>
              <w:spacing w:line="360" w:lineRule="auto"/>
              <w:jc w:val="center"/>
              <w:rPr>
                <w:rFonts w:hint="eastAsia" w:ascii="Calibri" w:hAnsi="Calibri"/>
                <w:sz w:val="24"/>
              </w:rPr>
            </w:pPr>
            <w:r>
              <w:rPr>
                <w:rFonts w:hint="eastAsia" w:ascii="Calibri" w:hAnsi="Calibri"/>
                <w:sz w:val="24"/>
              </w:rPr>
              <w:t>中标结果公告时间或者合同签订时间</w:t>
            </w:r>
          </w:p>
        </w:tc>
        <w:tc>
          <w:tcPr>
            <w:tcW w:w="1326" w:type="dxa"/>
            <w:noWrap w:val="0"/>
            <w:vAlign w:val="center"/>
          </w:tcPr>
          <w:p w14:paraId="78D23784">
            <w:pPr>
              <w:spacing w:line="360" w:lineRule="auto"/>
              <w:jc w:val="center"/>
              <w:rPr>
                <w:rFonts w:hint="eastAsia" w:ascii="Calibri" w:hAnsi="Calibri"/>
                <w:sz w:val="24"/>
              </w:rPr>
            </w:pPr>
            <w:r>
              <w:rPr>
                <w:rFonts w:hint="eastAsia" w:ascii="Calibri" w:hAnsi="Calibri"/>
                <w:sz w:val="24"/>
              </w:rPr>
              <w:t>中标金额或者合同金额</w:t>
            </w:r>
          </w:p>
        </w:tc>
        <w:tc>
          <w:tcPr>
            <w:tcW w:w="1167" w:type="dxa"/>
            <w:noWrap w:val="0"/>
            <w:vAlign w:val="center"/>
          </w:tcPr>
          <w:p w14:paraId="56C46BF9">
            <w:pPr>
              <w:spacing w:line="360" w:lineRule="auto"/>
              <w:jc w:val="center"/>
              <w:rPr>
                <w:rFonts w:hint="eastAsia" w:hAnsi="宋体"/>
                <w:sz w:val="24"/>
              </w:rPr>
            </w:pPr>
            <w:r>
              <w:rPr>
                <w:rFonts w:hint="eastAsia" w:hAnsi="宋体"/>
                <w:sz w:val="24"/>
              </w:rPr>
              <w:t>备注</w:t>
            </w:r>
          </w:p>
        </w:tc>
      </w:tr>
      <w:tr w14:paraId="7241E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19" w:type="dxa"/>
            <w:noWrap w:val="0"/>
            <w:vAlign w:val="center"/>
          </w:tcPr>
          <w:p w14:paraId="09903C1C">
            <w:pPr>
              <w:jc w:val="center"/>
              <w:rPr>
                <w:rFonts w:hint="eastAsia" w:ascii="Calibri" w:hAnsi="Calibri"/>
                <w:sz w:val="24"/>
              </w:rPr>
            </w:pPr>
          </w:p>
        </w:tc>
        <w:tc>
          <w:tcPr>
            <w:tcW w:w="2126" w:type="dxa"/>
            <w:noWrap w:val="0"/>
            <w:vAlign w:val="center"/>
          </w:tcPr>
          <w:p w14:paraId="62E96AAA">
            <w:pPr>
              <w:jc w:val="center"/>
              <w:rPr>
                <w:rFonts w:hint="eastAsia" w:ascii="Calibri" w:hAnsi="Calibri"/>
                <w:sz w:val="24"/>
              </w:rPr>
            </w:pPr>
          </w:p>
        </w:tc>
        <w:tc>
          <w:tcPr>
            <w:tcW w:w="1741" w:type="dxa"/>
            <w:noWrap w:val="0"/>
            <w:vAlign w:val="center"/>
          </w:tcPr>
          <w:p w14:paraId="63149FCE">
            <w:pPr>
              <w:jc w:val="center"/>
              <w:rPr>
                <w:rFonts w:hint="eastAsia" w:ascii="Calibri" w:hAnsi="Calibri"/>
                <w:sz w:val="24"/>
              </w:rPr>
            </w:pPr>
          </w:p>
        </w:tc>
        <w:tc>
          <w:tcPr>
            <w:tcW w:w="1985" w:type="dxa"/>
            <w:noWrap w:val="0"/>
            <w:vAlign w:val="center"/>
          </w:tcPr>
          <w:p w14:paraId="148EE0AC">
            <w:pPr>
              <w:jc w:val="center"/>
              <w:rPr>
                <w:rFonts w:hint="eastAsia" w:ascii="Calibri" w:hAnsi="Calibri"/>
                <w:sz w:val="24"/>
              </w:rPr>
            </w:pPr>
          </w:p>
        </w:tc>
        <w:tc>
          <w:tcPr>
            <w:tcW w:w="1326" w:type="dxa"/>
            <w:noWrap w:val="0"/>
            <w:vAlign w:val="center"/>
          </w:tcPr>
          <w:p w14:paraId="7E3BBAED">
            <w:pPr>
              <w:jc w:val="center"/>
              <w:rPr>
                <w:rFonts w:hint="eastAsia" w:ascii="Calibri" w:hAnsi="Calibri"/>
                <w:sz w:val="24"/>
              </w:rPr>
            </w:pPr>
          </w:p>
        </w:tc>
        <w:tc>
          <w:tcPr>
            <w:tcW w:w="1167" w:type="dxa"/>
            <w:noWrap w:val="0"/>
            <w:vAlign w:val="center"/>
          </w:tcPr>
          <w:p w14:paraId="25A0517C">
            <w:pPr>
              <w:jc w:val="center"/>
              <w:rPr>
                <w:rFonts w:hint="eastAsia" w:ascii="Calibri" w:hAnsi="Calibri"/>
                <w:sz w:val="24"/>
              </w:rPr>
            </w:pPr>
          </w:p>
        </w:tc>
      </w:tr>
      <w:tr w14:paraId="0D2D5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19" w:type="dxa"/>
            <w:noWrap w:val="0"/>
            <w:vAlign w:val="center"/>
          </w:tcPr>
          <w:p w14:paraId="2772E76D">
            <w:pPr>
              <w:jc w:val="center"/>
              <w:rPr>
                <w:rFonts w:hint="eastAsia" w:ascii="Calibri" w:hAnsi="Calibri"/>
                <w:sz w:val="24"/>
              </w:rPr>
            </w:pPr>
          </w:p>
        </w:tc>
        <w:tc>
          <w:tcPr>
            <w:tcW w:w="2126" w:type="dxa"/>
            <w:noWrap w:val="0"/>
            <w:vAlign w:val="center"/>
          </w:tcPr>
          <w:p w14:paraId="764C2FC2">
            <w:pPr>
              <w:jc w:val="center"/>
              <w:rPr>
                <w:rFonts w:hint="eastAsia" w:ascii="Calibri" w:hAnsi="Calibri"/>
                <w:sz w:val="24"/>
              </w:rPr>
            </w:pPr>
          </w:p>
        </w:tc>
        <w:tc>
          <w:tcPr>
            <w:tcW w:w="1741" w:type="dxa"/>
            <w:noWrap w:val="0"/>
            <w:vAlign w:val="center"/>
          </w:tcPr>
          <w:p w14:paraId="4F15A96F">
            <w:pPr>
              <w:jc w:val="center"/>
              <w:rPr>
                <w:rFonts w:hint="eastAsia" w:ascii="Calibri" w:hAnsi="Calibri"/>
                <w:sz w:val="24"/>
              </w:rPr>
            </w:pPr>
          </w:p>
        </w:tc>
        <w:tc>
          <w:tcPr>
            <w:tcW w:w="1985" w:type="dxa"/>
            <w:noWrap w:val="0"/>
            <w:vAlign w:val="center"/>
          </w:tcPr>
          <w:p w14:paraId="35109C95">
            <w:pPr>
              <w:jc w:val="center"/>
              <w:rPr>
                <w:rFonts w:hint="eastAsia" w:ascii="Calibri" w:hAnsi="Calibri"/>
                <w:sz w:val="24"/>
              </w:rPr>
            </w:pPr>
          </w:p>
        </w:tc>
        <w:tc>
          <w:tcPr>
            <w:tcW w:w="1326" w:type="dxa"/>
            <w:noWrap w:val="0"/>
            <w:vAlign w:val="center"/>
          </w:tcPr>
          <w:p w14:paraId="1CF5E9E3">
            <w:pPr>
              <w:jc w:val="center"/>
              <w:rPr>
                <w:rFonts w:hint="eastAsia" w:ascii="Calibri" w:hAnsi="Calibri"/>
                <w:sz w:val="24"/>
              </w:rPr>
            </w:pPr>
          </w:p>
        </w:tc>
        <w:tc>
          <w:tcPr>
            <w:tcW w:w="1167" w:type="dxa"/>
            <w:noWrap w:val="0"/>
            <w:vAlign w:val="center"/>
          </w:tcPr>
          <w:p w14:paraId="1E5CD3BB">
            <w:pPr>
              <w:jc w:val="center"/>
              <w:rPr>
                <w:rFonts w:hint="eastAsia" w:ascii="Calibri" w:hAnsi="Calibri"/>
                <w:sz w:val="24"/>
              </w:rPr>
            </w:pPr>
          </w:p>
        </w:tc>
      </w:tr>
      <w:tr w14:paraId="64248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34" w:hRule="atLeast"/>
          <w:jc w:val="center"/>
        </w:trPr>
        <w:tc>
          <w:tcPr>
            <w:tcW w:w="919" w:type="dxa"/>
            <w:noWrap w:val="0"/>
            <w:vAlign w:val="center"/>
          </w:tcPr>
          <w:p w14:paraId="671CC813">
            <w:pPr>
              <w:jc w:val="center"/>
              <w:rPr>
                <w:rFonts w:hint="eastAsia" w:ascii="Calibri" w:hAnsi="Calibri"/>
                <w:sz w:val="24"/>
              </w:rPr>
            </w:pPr>
          </w:p>
        </w:tc>
        <w:tc>
          <w:tcPr>
            <w:tcW w:w="2126" w:type="dxa"/>
            <w:noWrap w:val="0"/>
            <w:vAlign w:val="center"/>
          </w:tcPr>
          <w:p w14:paraId="383955A2">
            <w:pPr>
              <w:jc w:val="center"/>
              <w:rPr>
                <w:rFonts w:hint="eastAsia" w:ascii="Calibri" w:hAnsi="Calibri"/>
                <w:sz w:val="24"/>
              </w:rPr>
            </w:pPr>
          </w:p>
        </w:tc>
        <w:tc>
          <w:tcPr>
            <w:tcW w:w="1741" w:type="dxa"/>
            <w:noWrap w:val="0"/>
            <w:vAlign w:val="center"/>
          </w:tcPr>
          <w:p w14:paraId="30580302">
            <w:pPr>
              <w:jc w:val="center"/>
              <w:rPr>
                <w:rFonts w:hint="eastAsia" w:ascii="Calibri" w:hAnsi="Calibri"/>
                <w:sz w:val="24"/>
              </w:rPr>
            </w:pPr>
          </w:p>
        </w:tc>
        <w:tc>
          <w:tcPr>
            <w:tcW w:w="1985" w:type="dxa"/>
            <w:noWrap w:val="0"/>
            <w:vAlign w:val="center"/>
          </w:tcPr>
          <w:p w14:paraId="361EEC97">
            <w:pPr>
              <w:jc w:val="center"/>
              <w:rPr>
                <w:rFonts w:hint="eastAsia" w:ascii="Calibri" w:hAnsi="Calibri"/>
                <w:sz w:val="24"/>
              </w:rPr>
            </w:pPr>
          </w:p>
        </w:tc>
        <w:tc>
          <w:tcPr>
            <w:tcW w:w="1326" w:type="dxa"/>
            <w:noWrap w:val="0"/>
            <w:vAlign w:val="center"/>
          </w:tcPr>
          <w:p w14:paraId="76BCC96C">
            <w:pPr>
              <w:jc w:val="center"/>
              <w:rPr>
                <w:rFonts w:hint="eastAsia" w:ascii="Calibri" w:hAnsi="Calibri"/>
                <w:sz w:val="24"/>
              </w:rPr>
            </w:pPr>
          </w:p>
        </w:tc>
        <w:tc>
          <w:tcPr>
            <w:tcW w:w="1167" w:type="dxa"/>
            <w:noWrap w:val="0"/>
            <w:vAlign w:val="center"/>
          </w:tcPr>
          <w:p w14:paraId="20FC7243">
            <w:pPr>
              <w:jc w:val="center"/>
              <w:rPr>
                <w:rFonts w:hint="eastAsia" w:ascii="Calibri" w:hAnsi="Calibri"/>
                <w:sz w:val="24"/>
              </w:rPr>
            </w:pPr>
          </w:p>
        </w:tc>
      </w:tr>
      <w:tr w14:paraId="543B3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19" w:type="dxa"/>
            <w:noWrap w:val="0"/>
            <w:vAlign w:val="center"/>
          </w:tcPr>
          <w:p w14:paraId="3781ED94">
            <w:pPr>
              <w:jc w:val="center"/>
              <w:rPr>
                <w:rFonts w:hint="eastAsia" w:ascii="Calibri" w:hAnsi="Calibri"/>
                <w:sz w:val="24"/>
              </w:rPr>
            </w:pPr>
          </w:p>
        </w:tc>
        <w:tc>
          <w:tcPr>
            <w:tcW w:w="2126" w:type="dxa"/>
            <w:noWrap w:val="0"/>
            <w:vAlign w:val="center"/>
          </w:tcPr>
          <w:p w14:paraId="77D5F86C">
            <w:pPr>
              <w:jc w:val="center"/>
              <w:rPr>
                <w:rFonts w:hint="eastAsia" w:ascii="Calibri" w:hAnsi="Calibri"/>
                <w:sz w:val="24"/>
              </w:rPr>
            </w:pPr>
          </w:p>
        </w:tc>
        <w:tc>
          <w:tcPr>
            <w:tcW w:w="1741" w:type="dxa"/>
            <w:noWrap w:val="0"/>
            <w:vAlign w:val="center"/>
          </w:tcPr>
          <w:p w14:paraId="4315CE48">
            <w:pPr>
              <w:jc w:val="center"/>
              <w:rPr>
                <w:rFonts w:hint="eastAsia" w:ascii="Calibri" w:hAnsi="Calibri"/>
                <w:sz w:val="24"/>
              </w:rPr>
            </w:pPr>
          </w:p>
        </w:tc>
        <w:tc>
          <w:tcPr>
            <w:tcW w:w="1985" w:type="dxa"/>
            <w:noWrap w:val="0"/>
            <w:vAlign w:val="center"/>
          </w:tcPr>
          <w:p w14:paraId="28C17105">
            <w:pPr>
              <w:jc w:val="center"/>
              <w:rPr>
                <w:rFonts w:hint="eastAsia" w:ascii="Calibri" w:hAnsi="Calibri"/>
                <w:sz w:val="24"/>
              </w:rPr>
            </w:pPr>
          </w:p>
        </w:tc>
        <w:tc>
          <w:tcPr>
            <w:tcW w:w="1326" w:type="dxa"/>
            <w:noWrap w:val="0"/>
            <w:vAlign w:val="center"/>
          </w:tcPr>
          <w:p w14:paraId="7113BA2B">
            <w:pPr>
              <w:jc w:val="center"/>
              <w:rPr>
                <w:rFonts w:hint="eastAsia" w:ascii="Calibri" w:hAnsi="Calibri"/>
                <w:sz w:val="24"/>
              </w:rPr>
            </w:pPr>
          </w:p>
        </w:tc>
        <w:tc>
          <w:tcPr>
            <w:tcW w:w="1167" w:type="dxa"/>
            <w:noWrap w:val="0"/>
            <w:vAlign w:val="center"/>
          </w:tcPr>
          <w:p w14:paraId="5775909F">
            <w:pPr>
              <w:jc w:val="center"/>
              <w:rPr>
                <w:rFonts w:hint="eastAsia" w:ascii="Calibri" w:hAnsi="Calibri"/>
                <w:sz w:val="24"/>
              </w:rPr>
            </w:pPr>
          </w:p>
        </w:tc>
      </w:tr>
      <w:tr w14:paraId="1892E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19" w:type="dxa"/>
            <w:noWrap w:val="0"/>
            <w:vAlign w:val="center"/>
          </w:tcPr>
          <w:p w14:paraId="082CB60E">
            <w:pPr>
              <w:jc w:val="center"/>
              <w:rPr>
                <w:rFonts w:hint="eastAsia" w:ascii="Calibri" w:hAnsi="Calibri"/>
                <w:sz w:val="24"/>
              </w:rPr>
            </w:pPr>
          </w:p>
        </w:tc>
        <w:tc>
          <w:tcPr>
            <w:tcW w:w="2126" w:type="dxa"/>
            <w:noWrap w:val="0"/>
            <w:vAlign w:val="center"/>
          </w:tcPr>
          <w:p w14:paraId="22CC6930">
            <w:pPr>
              <w:jc w:val="center"/>
              <w:rPr>
                <w:rFonts w:hint="eastAsia" w:ascii="Calibri" w:hAnsi="Calibri"/>
                <w:sz w:val="24"/>
              </w:rPr>
            </w:pPr>
          </w:p>
        </w:tc>
        <w:tc>
          <w:tcPr>
            <w:tcW w:w="1741" w:type="dxa"/>
            <w:noWrap w:val="0"/>
            <w:vAlign w:val="center"/>
          </w:tcPr>
          <w:p w14:paraId="6CFB0BA1">
            <w:pPr>
              <w:jc w:val="center"/>
              <w:rPr>
                <w:rFonts w:hint="eastAsia" w:ascii="Calibri" w:hAnsi="Calibri"/>
                <w:sz w:val="24"/>
              </w:rPr>
            </w:pPr>
          </w:p>
        </w:tc>
        <w:tc>
          <w:tcPr>
            <w:tcW w:w="1985" w:type="dxa"/>
            <w:noWrap w:val="0"/>
            <w:vAlign w:val="center"/>
          </w:tcPr>
          <w:p w14:paraId="38AC98C3">
            <w:pPr>
              <w:jc w:val="center"/>
              <w:rPr>
                <w:rFonts w:hint="eastAsia" w:ascii="Calibri" w:hAnsi="Calibri"/>
                <w:sz w:val="24"/>
              </w:rPr>
            </w:pPr>
          </w:p>
        </w:tc>
        <w:tc>
          <w:tcPr>
            <w:tcW w:w="1326" w:type="dxa"/>
            <w:noWrap w:val="0"/>
            <w:vAlign w:val="center"/>
          </w:tcPr>
          <w:p w14:paraId="0F99078E">
            <w:pPr>
              <w:jc w:val="center"/>
              <w:rPr>
                <w:rFonts w:hint="eastAsia" w:ascii="Calibri" w:hAnsi="Calibri"/>
                <w:sz w:val="24"/>
              </w:rPr>
            </w:pPr>
          </w:p>
        </w:tc>
        <w:tc>
          <w:tcPr>
            <w:tcW w:w="1167" w:type="dxa"/>
            <w:noWrap w:val="0"/>
            <w:vAlign w:val="center"/>
          </w:tcPr>
          <w:p w14:paraId="54BA67E0">
            <w:pPr>
              <w:jc w:val="center"/>
              <w:rPr>
                <w:rFonts w:hint="eastAsia" w:ascii="Calibri" w:hAnsi="Calibri"/>
                <w:sz w:val="24"/>
              </w:rPr>
            </w:pPr>
          </w:p>
        </w:tc>
      </w:tr>
      <w:tr w14:paraId="7D298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19" w:type="dxa"/>
            <w:noWrap w:val="0"/>
            <w:vAlign w:val="center"/>
          </w:tcPr>
          <w:p w14:paraId="327BEE15">
            <w:pPr>
              <w:jc w:val="center"/>
              <w:rPr>
                <w:rFonts w:hint="eastAsia" w:ascii="Calibri" w:hAnsi="Calibri"/>
                <w:sz w:val="24"/>
              </w:rPr>
            </w:pPr>
          </w:p>
        </w:tc>
        <w:tc>
          <w:tcPr>
            <w:tcW w:w="2126" w:type="dxa"/>
            <w:noWrap w:val="0"/>
            <w:vAlign w:val="center"/>
          </w:tcPr>
          <w:p w14:paraId="0B39C75D">
            <w:pPr>
              <w:jc w:val="center"/>
              <w:rPr>
                <w:rFonts w:hint="eastAsia" w:ascii="Calibri" w:hAnsi="Calibri"/>
                <w:sz w:val="24"/>
              </w:rPr>
            </w:pPr>
          </w:p>
        </w:tc>
        <w:tc>
          <w:tcPr>
            <w:tcW w:w="1741" w:type="dxa"/>
            <w:noWrap w:val="0"/>
            <w:vAlign w:val="center"/>
          </w:tcPr>
          <w:p w14:paraId="22ED108F">
            <w:pPr>
              <w:jc w:val="center"/>
              <w:rPr>
                <w:rFonts w:hint="eastAsia" w:ascii="Calibri" w:hAnsi="Calibri"/>
                <w:sz w:val="24"/>
              </w:rPr>
            </w:pPr>
          </w:p>
        </w:tc>
        <w:tc>
          <w:tcPr>
            <w:tcW w:w="1985" w:type="dxa"/>
            <w:noWrap w:val="0"/>
            <w:vAlign w:val="center"/>
          </w:tcPr>
          <w:p w14:paraId="062E19DA">
            <w:pPr>
              <w:jc w:val="center"/>
              <w:rPr>
                <w:rFonts w:hint="eastAsia" w:ascii="Calibri" w:hAnsi="Calibri"/>
                <w:sz w:val="24"/>
              </w:rPr>
            </w:pPr>
          </w:p>
        </w:tc>
        <w:tc>
          <w:tcPr>
            <w:tcW w:w="1326" w:type="dxa"/>
            <w:noWrap w:val="0"/>
            <w:vAlign w:val="center"/>
          </w:tcPr>
          <w:p w14:paraId="29FD3184">
            <w:pPr>
              <w:jc w:val="center"/>
              <w:rPr>
                <w:rFonts w:hint="eastAsia" w:ascii="Calibri" w:hAnsi="Calibri"/>
                <w:sz w:val="24"/>
              </w:rPr>
            </w:pPr>
          </w:p>
        </w:tc>
        <w:tc>
          <w:tcPr>
            <w:tcW w:w="1167" w:type="dxa"/>
            <w:noWrap w:val="0"/>
            <w:vAlign w:val="center"/>
          </w:tcPr>
          <w:p w14:paraId="1B5E25E6">
            <w:pPr>
              <w:jc w:val="center"/>
              <w:rPr>
                <w:rFonts w:hint="eastAsia" w:ascii="Calibri" w:hAnsi="Calibri"/>
                <w:sz w:val="24"/>
              </w:rPr>
            </w:pPr>
          </w:p>
        </w:tc>
      </w:tr>
    </w:tbl>
    <w:p w14:paraId="15C803E3">
      <w:pPr>
        <w:jc w:val="center"/>
        <w:rPr>
          <w:rFonts w:hint="eastAsia" w:ascii="Calibri" w:hAnsi="Calibri"/>
        </w:rPr>
      </w:pPr>
    </w:p>
    <w:p w14:paraId="655D6194">
      <w:pPr>
        <w:widowControl/>
        <w:spacing w:line="360" w:lineRule="auto"/>
        <w:jc w:val="left"/>
        <w:rPr>
          <w:rFonts w:hint="eastAsia" w:ascii="宋体" w:hAnsi="宋体" w:cs="宋体"/>
          <w:kern w:val="0"/>
          <w:sz w:val="24"/>
        </w:rPr>
      </w:pPr>
    </w:p>
    <w:p w14:paraId="711920E3">
      <w:pPr>
        <w:widowControl/>
        <w:spacing w:line="360" w:lineRule="auto"/>
        <w:jc w:val="left"/>
        <w:rPr>
          <w:rFonts w:hint="eastAsia" w:ascii="宋体" w:hAnsi="宋体" w:cs="宋体"/>
          <w:kern w:val="0"/>
          <w:sz w:val="24"/>
        </w:rPr>
      </w:pPr>
      <w:r>
        <w:rPr>
          <w:rFonts w:hint="eastAsia" w:ascii="宋体" w:hAnsi="宋体" w:cs="宋体"/>
          <w:kern w:val="0"/>
          <w:sz w:val="24"/>
        </w:rPr>
        <w:t>注：1.</w:t>
      </w:r>
      <w:r>
        <w:rPr>
          <w:rFonts w:hint="eastAsia"/>
          <w:sz w:val="24"/>
        </w:rPr>
        <w:t>可附</w:t>
      </w:r>
      <w:r>
        <w:rPr>
          <w:rFonts w:hint="eastAsia" w:ascii="Calibri" w:hAnsi="Calibri"/>
          <w:sz w:val="24"/>
        </w:rPr>
        <w:t>供应商自己的业绩或者了解的其他同类项目历史成交信息。</w:t>
      </w:r>
    </w:p>
    <w:p w14:paraId="27E5027B">
      <w:pPr>
        <w:widowControl/>
        <w:spacing w:line="360" w:lineRule="auto"/>
        <w:ind w:firstLine="480" w:firstLineChars="200"/>
        <w:jc w:val="left"/>
        <w:rPr>
          <w:rFonts w:hint="eastAsia" w:ascii="宋体" w:hAnsi="宋体" w:cs="宋体"/>
          <w:kern w:val="0"/>
          <w:sz w:val="24"/>
        </w:rPr>
      </w:pPr>
      <w:r>
        <w:rPr>
          <w:rFonts w:hint="eastAsia" w:ascii="宋体" w:hAnsi="宋体" w:cs="宋体"/>
          <w:kern w:val="0"/>
          <w:sz w:val="24"/>
        </w:rPr>
        <w:t>2.建议附相关佐证材料（如：中标公告链接、合同扫描件等）。</w:t>
      </w:r>
    </w:p>
    <w:p w14:paraId="066AE2B9">
      <w:pPr>
        <w:pStyle w:val="8"/>
        <w:spacing w:before="0" w:after="0" w:line="360" w:lineRule="auto"/>
        <w:rPr>
          <w:rFonts w:hint="eastAsia"/>
        </w:rPr>
      </w:pPr>
      <w:r>
        <w:rPr>
          <w:rFonts w:hint="eastAsia" w:ascii="宋体" w:hAnsi="宋体" w:cs="宋体"/>
          <w:kern w:val="0"/>
          <w:sz w:val="24"/>
        </w:rPr>
        <w:br w:type="page"/>
      </w:r>
      <w:r>
        <w:rPr>
          <w:rFonts w:hint="eastAsia"/>
        </w:rPr>
        <w:t>七、可能涉及的服务内容、服务标准、技术保障、服务人员组成、服务交付或者实施的地域范围，以及所涉及的服务工作量的计量方式等。</w:t>
      </w:r>
    </w:p>
    <w:p w14:paraId="3597CD26">
      <w:pPr>
        <w:pStyle w:val="8"/>
        <w:spacing w:before="0" w:after="0" w:line="360" w:lineRule="auto"/>
        <w:rPr>
          <w:rFonts w:hint="eastAsia"/>
        </w:rPr>
      </w:pPr>
    </w:p>
    <w:p w14:paraId="7C40D7BA">
      <w:pPr>
        <w:widowControl/>
        <w:spacing w:line="360" w:lineRule="auto"/>
        <w:jc w:val="center"/>
        <w:rPr>
          <w:rFonts w:hint="eastAsia" w:ascii="宋体" w:hAnsi="宋体" w:cs="宋体"/>
          <w:kern w:val="0"/>
          <w:sz w:val="24"/>
        </w:rPr>
      </w:pPr>
    </w:p>
    <w:p w14:paraId="256B65EC">
      <w:pPr>
        <w:widowControl/>
        <w:spacing w:line="360" w:lineRule="auto"/>
        <w:jc w:val="center"/>
        <w:rPr>
          <w:rFonts w:hint="eastAsia" w:ascii="宋体" w:hAnsi="宋体" w:cs="宋体"/>
          <w:kern w:val="0"/>
          <w:sz w:val="24"/>
        </w:rPr>
      </w:pPr>
      <w:r>
        <w:rPr>
          <w:rFonts w:hint="eastAsia" w:ascii="宋体" w:hAnsi="宋体" w:cs="宋体"/>
          <w:kern w:val="0"/>
          <w:sz w:val="24"/>
        </w:rPr>
        <w:t>（内容自拟）</w:t>
      </w:r>
    </w:p>
    <w:p w14:paraId="42026E73">
      <w:pPr>
        <w:rPr>
          <w:rFonts w:hint="eastAsia"/>
        </w:rPr>
      </w:pPr>
    </w:p>
    <w:p w14:paraId="4C64B01F">
      <w:pPr>
        <w:pStyle w:val="8"/>
        <w:spacing w:before="0" w:after="0" w:line="360" w:lineRule="auto"/>
        <w:rPr>
          <w:rFonts w:hint="eastAsia"/>
        </w:rPr>
      </w:pPr>
      <w:r>
        <w:rPr>
          <w:rFonts w:hint="eastAsia" w:ascii="宋体" w:hAnsi="宋体" w:cs="宋体"/>
          <w:kern w:val="0"/>
          <w:sz w:val="24"/>
        </w:rPr>
        <w:br w:type="page"/>
      </w:r>
      <w:r>
        <w:rPr>
          <w:rFonts w:hint="eastAsia"/>
        </w:rPr>
        <w:t>八、报价表</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
        <w:gridCol w:w="4135"/>
        <w:gridCol w:w="2835"/>
        <w:gridCol w:w="1416"/>
      </w:tblGrid>
      <w:tr w14:paraId="4E9AB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atLeast"/>
          <w:jc w:val="center"/>
        </w:trPr>
        <w:tc>
          <w:tcPr>
            <w:tcW w:w="910" w:type="dxa"/>
            <w:noWrap w:val="0"/>
            <w:vAlign w:val="center"/>
          </w:tcPr>
          <w:p w14:paraId="023BDFBA">
            <w:pPr>
              <w:spacing w:line="360" w:lineRule="auto"/>
              <w:jc w:val="center"/>
              <w:rPr>
                <w:rFonts w:hint="eastAsia" w:ascii="宋体" w:hAnsi="宋体" w:cs="宋体"/>
                <w:sz w:val="24"/>
              </w:rPr>
            </w:pPr>
            <w:r>
              <w:rPr>
                <w:rFonts w:hint="eastAsia" w:ascii="宋体" w:hAnsi="宋体" w:cs="宋体"/>
                <w:sz w:val="24"/>
              </w:rPr>
              <w:t>序号</w:t>
            </w:r>
          </w:p>
        </w:tc>
        <w:tc>
          <w:tcPr>
            <w:tcW w:w="4135" w:type="dxa"/>
            <w:noWrap w:val="0"/>
            <w:vAlign w:val="center"/>
          </w:tcPr>
          <w:p w14:paraId="2EBEB3DB">
            <w:pPr>
              <w:spacing w:line="360" w:lineRule="auto"/>
              <w:jc w:val="center"/>
              <w:rPr>
                <w:rFonts w:hint="eastAsia" w:ascii="宋体" w:hAnsi="宋体" w:cs="宋体"/>
                <w:sz w:val="24"/>
              </w:rPr>
            </w:pPr>
            <w:r>
              <w:rPr>
                <w:rFonts w:hint="eastAsia" w:ascii="宋体" w:hAnsi="宋体" w:cs="宋体"/>
                <w:sz w:val="24"/>
              </w:rPr>
              <w:t>项目名称</w:t>
            </w:r>
          </w:p>
        </w:tc>
        <w:tc>
          <w:tcPr>
            <w:tcW w:w="2835" w:type="dxa"/>
            <w:noWrap w:val="0"/>
            <w:vAlign w:val="center"/>
          </w:tcPr>
          <w:p w14:paraId="03FDE6D7">
            <w:pPr>
              <w:spacing w:line="360" w:lineRule="auto"/>
              <w:jc w:val="center"/>
              <w:rPr>
                <w:rFonts w:hint="eastAsia" w:ascii="宋体" w:hAnsi="宋体" w:cs="宋体"/>
                <w:sz w:val="24"/>
              </w:rPr>
            </w:pPr>
            <w:r>
              <w:rPr>
                <w:rFonts w:hint="eastAsia" w:ascii="宋体" w:hAnsi="宋体" w:cs="宋体"/>
                <w:sz w:val="24"/>
              </w:rPr>
              <w:t>下浮系数</w:t>
            </w:r>
          </w:p>
        </w:tc>
        <w:tc>
          <w:tcPr>
            <w:tcW w:w="1416" w:type="dxa"/>
            <w:noWrap w:val="0"/>
            <w:vAlign w:val="center"/>
          </w:tcPr>
          <w:p w14:paraId="65217E8A">
            <w:pPr>
              <w:spacing w:line="360" w:lineRule="auto"/>
              <w:jc w:val="center"/>
              <w:rPr>
                <w:rFonts w:hint="eastAsia" w:ascii="宋体" w:hAnsi="宋体" w:cs="宋体"/>
                <w:sz w:val="24"/>
              </w:rPr>
            </w:pPr>
            <w:r>
              <w:rPr>
                <w:rFonts w:hint="eastAsia" w:ascii="宋体" w:hAnsi="宋体" w:cs="宋体"/>
                <w:sz w:val="24"/>
              </w:rPr>
              <w:t>备注</w:t>
            </w:r>
          </w:p>
        </w:tc>
      </w:tr>
      <w:tr w14:paraId="44B13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910" w:type="dxa"/>
            <w:noWrap w:val="0"/>
            <w:vAlign w:val="center"/>
          </w:tcPr>
          <w:p w14:paraId="6D223230">
            <w:pPr>
              <w:jc w:val="center"/>
              <w:rPr>
                <w:rFonts w:hint="eastAsia" w:ascii="宋体" w:hAnsi="宋体" w:cs="宋体"/>
                <w:sz w:val="24"/>
              </w:rPr>
            </w:pPr>
            <w:r>
              <w:rPr>
                <w:rFonts w:hint="eastAsia" w:ascii="宋体" w:hAnsi="宋体" w:cs="宋体"/>
                <w:sz w:val="24"/>
              </w:rPr>
              <w:t>1</w:t>
            </w:r>
          </w:p>
        </w:tc>
        <w:tc>
          <w:tcPr>
            <w:tcW w:w="4135" w:type="dxa"/>
            <w:noWrap w:val="0"/>
            <w:vAlign w:val="center"/>
          </w:tcPr>
          <w:p w14:paraId="3E252D13">
            <w:pPr>
              <w:jc w:val="center"/>
              <w:rPr>
                <w:rFonts w:hint="eastAsia" w:ascii="宋体" w:hAnsi="宋体" w:cs="宋体"/>
                <w:sz w:val="24"/>
              </w:rPr>
            </w:pPr>
            <w:r>
              <w:rPr>
                <w:rFonts w:hint="eastAsia" w:ascii="宋体" w:hAnsi="宋体" w:cs="宋体"/>
                <w:sz w:val="24"/>
              </w:rPr>
              <w:t>水利水电工程技术评估、评审</w:t>
            </w:r>
          </w:p>
        </w:tc>
        <w:tc>
          <w:tcPr>
            <w:tcW w:w="2835" w:type="dxa"/>
            <w:noWrap w:val="0"/>
            <w:vAlign w:val="center"/>
          </w:tcPr>
          <w:p w14:paraId="73D03793">
            <w:pPr>
              <w:jc w:val="center"/>
              <w:rPr>
                <w:rFonts w:hint="eastAsia" w:ascii="宋体" w:hAnsi="宋体" w:cs="宋体"/>
                <w:sz w:val="24"/>
                <w:u w:val="single"/>
              </w:rPr>
            </w:pPr>
            <w:r>
              <w:rPr>
                <w:rFonts w:hint="eastAsia" w:ascii="宋体" w:hAnsi="宋体" w:cs="宋体"/>
                <w:sz w:val="24"/>
                <w:u w:val="single"/>
              </w:rPr>
              <w:t xml:space="preserve">      %</w:t>
            </w:r>
          </w:p>
        </w:tc>
        <w:tc>
          <w:tcPr>
            <w:tcW w:w="1416" w:type="dxa"/>
            <w:noWrap w:val="0"/>
            <w:vAlign w:val="center"/>
          </w:tcPr>
          <w:p w14:paraId="2994980C">
            <w:pPr>
              <w:jc w:val="center"/>
              <w:rPr>
                <w:rFonts w:hint="eastAsia" w:ascii="宋体" w:hAnsi="宋体" w:cs="宋体"/>
                <w:sz w:val="24"/>
              </w:rPr>
            </w:pPr>
          </w:p>
        </w:tc>
      </w:tr>
    </w:tbl>
    <w:p w14:paraId="21B23B60">
      <w:pPr>
        <w:widowControl/>
        <w:spacing w:line="360" w:lineRule="auto"/>
        <w:jc w:val="left"/>
        <w:rPr>
          <w:rFonts w:hint="eastAsia" w:ascii="宋体" w:hAnsi="宋体" w:cs="宋体"/>
          <w:kern w:val="0"/>
          <w:sz w:val="24"/>
        </w:rPr>
      </w:pPr>
    </w:p>
    <w:p w14:paraId="6D0826B4">
      <w:pPr>
        <w:widowControl/>
        <w:spacing w:line="360" w:lineRule="auto"/>
        <w:jc w:val="left"/>
        <w:rPr>
          <w:rFonts w:hint="eastAsia" w:ascii="宋体" w:hAnsi="宋体" w:cs="宋体"/>
          <w:kern w:val="0"/>
          <w:sz w:val="24"/>
        </w:rPr>
      </w:pPr>
      <w:r>
        <w:rPr>
          <w:rFonts w:hint="eastAsia" w:ascii="宋体" w:hAnsi="宋体" w:cs="宋体"/>
          <w:kern w:val="0"/>
          <w:sz w:val="24"/>
        </w:rPr>
        <w:t>注：潜在供应商根据附件一：《水利厅政府采购技术审查评估服务机构审查评估咨询服务费收费参考标准》报出下浮系数。</w:t>
      </w:r>
    </w:p>
    <w:p w14:paraId="10C58CCF">
      <w:pPr>
        <w:pStyle w:val="8"/>
        <w:spacing w:before="0" w:after="0" w:line="360" w:lineRule="auto"/>
      </w:pPr>
      <w:r>
        <w:rPr>
          <w:rFonts w:ascii="宋体" w:hAnsi="宋体" w:cs="宋体"/>
          <w:b w:val="0"/>
          <w:bCs w:val="0"/>
          <w:kern w:val="0"/>
          <w:sz w:val="24"/>
          <w:szCs w:val="24"/>
        </w:rPr>
        <w:br w:type="page"/>
      </w:r>
      <w:r>
        <w:rPr>
          <w:rFonts w:hint="eastAsia"/>
        </w:rPr>
        <w:t>九、其他相关情况</w:t>
      </w:r>
    </w:p>
    <w:p w14:paraId="63A9068F">
      <w:pPr>
        <w:widowControl/>
        <w:spacing w:line="360" w:lineRule="auto"/>
        <w:jc w:val="center"/>
        <w:rPr>
          <w:rFonts w:hint="eastAsia" w:ascii="宋体" w:hAnsi="宋体" w:cs="宋体"/>
          <w:kern w:val="0"/>
          <w:sz w:val="24"/>
        </w:rPr>
      </w:pPr>
    </w:p>
    <w:p w14:paraId="45E932AE">
      <w:pPr>
        <w:widowControl/>
        <w:spacing w:line="360" w:lineRule="auto"/>
        <w:jc w:val="center"/>
        <w:rPr>
          <w:rFonts w:hint="eastAsia" w:ascii="宋体" w:hAnsi="宋体" w:cs="宋体"/>
          <w:kern w:val="0"/>
          <w:sz w:val="24"/>
        </w:rPr>
      </w:pPr>
      <w:r>
        <w:rPr>
          <w:rFonts w:hint="eastAsia" w:ascii="宋体" w:hAnsi="宋体" w:cs="宋体"/>
          <w:kern w:val="0"/>
          <w:sz w:val="24"/>
        </w:rPr>
        <w:t>（内容自拟）</w:t>
      </w:r>
    </w:p>
    <w:p w14:paraId="0FC7FD65">
      <w:pPr>
        <w:rPr>
          <w:rFonts w:hint="eastAsia"/>
        </w:rPr>
      </w:pPr>
    </w:p>
    <w:p w14:paraId="3E65778C">
      <w:pPr>
        <w:outlineLvl w:val="1"/>
        <w:rPr>
          <w:rFonts w:hint="eastAsia" w:cs="宋体"/>
          <w:b/>
          <w:sz w:val="24"/>
        </w:rPr>
      </w:pPr>
      <w:r>
        <w:rPr>
          <w:rFonts w:ascii="宋体" w:hAnsi="宋体" w:cs="宋体"/>
          <w:b/>
          <w:sz w:val="28"/>
          <w:szCs w:val="28"/>
        </w:rPr>
        <w:br w:type="page"/>
      </w:r>
      <w:bookmarkEnd w:id="4"/>
      <w:r>
        <w:rPr>
          <w:rFonts w:hint="eastAsia" w:cs="宋体"/>
          <w:b/>
          <w:sz w:val="24"/>
        </w:rPr>
        <w:t>附件1</w:t>
      </w:r>
    </w:p>
    <w:p w14:paraId="6EBEBF2F">
      <w:pPr>
        <w:pStyle w:val="4"/>
        <w:ind w:firstLine="723"/>
        <w:jc w:val="center"/>
        <w:outlineLvl w:val="0"/>
        <w:rPr>
          <w:rFonts w:cs="宋体"/>
          <w:b/>
          <w:sz w:val="36"/>
        </w:rPr>
      </w:pPr>
      <w:r>
        <w:rPr>
          <w:rFonts w:hint="eastAsia" w:cs="宋体"/>
          <w:b/>
          <w:sz w:val="36"/>
        </w:rPr>
        <w:t>采购需求</w:t>
      </w:r>
      <w:bookmarkEnd w:id="0"/>
      <w:bookmarkEnd w:id="1"/>
    </w:p>
    <w:p w14:paraId="390E972E">
      <w:pPr>
        <w:adjustRightInd w:val="0"/>
        <w:spacing w:line="340" w:lineRule="exact"/>
        <w:rPr>
          <w:rFonts w:ascii="宋体" w:hAnsi="宋体" w:cs="宋体"/>
          <w:b/>
          <w:szCs w:val="21"/>
        </w:rPr>
      </w:pPr>
    </w:p>
    <w:p w14:paraId="75DF4A4E">
      <w:pPr>
        <w:spacing w:line="360" w:lineRule="auto"/>
        <w:rPr>
          <w:rFonts w:ascii="宋体" w:hAnsi="宋体" w:cs="宋体"/>
          <w:b/>
          <w:szCs w:val="21"/>
        </w:rPr>
      </w:pPr>
      <w:r>
        <w:rPr>
          <w:rFonts w:hint="eastAsia" w:ascii="宋体" w:hAnsi="宋体" w:cs="宋体"/>
          <w:b/>
          <w:szCs w:val="21"/>
        </w:rPr>
        <w:t>说明：</w:t>
      </w:r>
    </w:p>
    <w:p w14:paraId="6D1BDF16">
      <w:pPr>
        <w:spacing w:line="360" w:lineRule="auto"/>
        <w:ind w:firstLine="420" w:firstLineChars="200"/>
        <w:jc w:val="left"/>
        <w:rPr>
          <w:rFonts w:ascii="宋体" w:hAnsi="宋体" w:cs="宋体"/>
        </w:rPr>
      </w:pPr>
      <w:r>
        <w:rPr>
          <w:rFonts w:hint="eastAsia" w:ascii="宋体" w:hAnsi="宋体" w:cs="宋体"/>
        </w:rPr>
        <w:t>1.为落实政府采购政策需满足的要求：</w:t>
      </w:r>
    </w:p>
    <w:p w14:paraId="25A7995C">
      <w:pPr>
        <w:spacing w:line="360" w:lineRule="auto"/>
        <w:ind w:firstLine="420" w:firstLineChars="200"/>
        <w:jc w:val="left"/>
        <w:rPr>
          <w:rFonts w:ascii="宋体" w:hAnsi="宋体" w:cs="宋体"/>
          <w:szCs w:val="21"/>
        </w:rPr>
      </w:pPr>
      <w:r>
        <w:rPr>
          <w:rFonts w:hint="eastAsia" w:ascii="宋体" w:hAnsi="宋体" w:cs="宋体"/>
          <w:szCs w:val="21"/>
        </w:rPr>
        <w:t>（1）本招标文件所称中小企业必须符合《政府采购促进中小企业发展管理办法》（财库〔2020〕46号）的规定。</w:t>
      </w:r>
    </w:p>
    <w:p w14:paraId="6F6EC461">
      <w:pPr>
        <w:spacing w:line="360" w:lineRule="auto"/>
        <w:ind w:firstLine="420" w:firstLineChars="200"/>
        <w:jc w:val="left"/>
        <w:rPr>
          <w:rFonts w:ascii="宋体" w:hAnsi="宋体" w:cs="宋体"/>
          <w:szCs w:val="21"/>
        </w:rPr>
      </w:pPr>
      <w:r>
        <w:rPr>
          <w:rFonts w:hint="eastAsia" w:ascii="宋体" w:hAnsi="宋体" w:cs="宋体"/>
          <w:szCs w:val="21"/>
        </w:rPr>
        <w:t>（2）服务项目中包含货物的，根据《财政部 发展改革委 生态环境部 市场监管总局关于调整优化节能产品、环境标志产品政府采购执行机制的通知》（财库〔2019〕9号）和《关于印发节能产品政府采购品目清单的通知》（财库〔2019〕19号）的规定，采购需求中的产品属于节能产品政府采购品目清单内标注“★”的，投标人必须在投标文件中提供所投标产品的节能产品认证证书复印件（加盖投标人电子签章），否则投标文件作无效处理。如本项目包含的配套货物属于品目清单内非标注“★”的产品时，应优先采购，具体详见“第四章 评标方法及评分标准”。</w:t>
      </w:r>
    </w:p>
    <w:p w14:paraId="76D1D7F5">
      <w:pPr>
        <w:spacing w:line="360" w:lineRule="auto"/>
        <w:ind w:firstLine="420" w:firstLineChars="200"/>
        <w:jc w:val="left"/>
        <w:rPr>
          <w:rFonts w:ascii="宋体" w:hAnsi="宋体" w:cs="宋体"/>
          <w:szCs w:val="21"/>
        </w:rPr>
      </w:pPr>
      <w:r>
        <w:rPr>
          <w:rFonts w:hint="eastAsia" w:ascii="宋体" w:hAnsi="宋体" w:cs="宋体"/>
          <w:szCs w:val="21"/>
        </w:rPr>
        <w:t>（3）服务项目中包含货物的，根据《中华人民共和国网络安全法》《关于调整网络安全专用产品安全管理有关事项的公告》（2023年第1号）、《关于调整&lt;网络关键设备和网络安全专用产品目录&gt;的公告》（2023年第2号）、《国家认监委 工业和信息化部 公安部 国家互联网信息办公室关于发布承担网络关键设备和网络安全专用产品安全认证和安全检测任务机构名录（第一批）的公告》（2018年第12号）、《关于统一发布网络关键设备和网络安全专用产品安全认证和安全检测结果的公告》（2022年第1号）：自2023年7月1日起，列入《网络关键设备和网络安全专用产品目录》的“网络安全专用产品”，应当按照《信息安全技术网络安全专用产品安全技术要求》等相关国家标准的强制性要求，对网络安全专用产品进行安全认证或安全检测，投标人必须在投标文件中提供由具备资格的机构出具的安全认证合格证书或者安全检测合格证书（加盖投标人电子签章），否则投标文件作无效处理；已获得《计算机信息系统安全专用产品销售许可证》的产品，在有效期内可继续销售或者提供。</w:t>
      </w:r>
    </w:p>
    <w:p w14:paraId="4314D043">
      <w:pPr>
        <w:spacing w:line="360" w:lineRule="auto"/>
        <w:ind w:firstLine="420" w:firstLineChars="200"/>
        <w:jc w:val="left"/>
        <w:rPr>
          <w:rFonts w:ascii="宋体" w:hAnsi="宋体" w:cs="宋体"/>
          <w:szCs w:val="21"/>
        </w:rPr>
      </w:pPr>
      <w:r>
        <w:rPr>
          <w:rFonts w:hint="eastAsia" w:ascii="宋体" w:hAnsi="宋体" w:cs="宋体"/>
          <w:szCs w:val="21"/>
        </w:rPr>
        <w:t>2.“实质性要求”是指招标文件中已经指明不满足则投标无效的条款，或者不能负偏离的条款，或者采购需求中带“▲”的条款。</w:t>
      </w:r>
    </w:p>
    <w:p w14:paraId="3BC82B9F">
      <w:pPr>
        <w:spacing w:line="360" w:lineRule="auto"/>
        <w:ind w:firstLine="420" w:firstLineChars="200"/>
        <w:jc w:val="left"/>
        <w:rPr>
          <w:rFonts w:ascii="宋体" w:hAnsi="宋体" w:cs="宋体"/>
        </w:rPr>
      </w:pPr>
      <w:r>
        <w:rPr>
          <w:rFonts w:hint="eastAsia" w:ascii="宋体" w:hAnsi="宋体" w:cs="宋体"/>
          <w:szCs w:val="21"/>
          <w:lang w:val="en-US" w:eastAsia="zh-CN"/>
        </w:rPr>
        <w:t>3</w:t>
      </w:r>
      <w:r>
        <w:rPr>
          <w:rFonts w:hint="eastAsia" w:ascii="宋体" w:hAnsi="宋体" w:cs="宋体"/>
          <w:szCs w:val="21"/>
        </w:rPr>
        <w:t>.</w:t>
      </w:r>
      <w:r>
        <w:rPr>
          <w:rFonts w:hint="eastAsia" w:ascii="宋体" w:hAnsi="宋体" w:cs="宋体"/>
        </w:rPr>
        <w:t>投标人必须自行为其投标产品侵犯他人的知识产权或者专利成果的行为承担相应法律责任。</w:t>
      </w:r>
    </w:p>
    <w:p w14:paraId="392862C0">
      <w:pPr>
        <w:spacing w:line="360" w:lineRule="auto"/>
        <w:ind w:firstLine="420" w:firstLineChars="200"/>
        <w:jc w:val="left"/>
        <w:rPr>
          <w:rFonts w:ascii="宋体" w:hAnsi="宋体" w:cs="宋体"/>
          <w:bCs/>
          <w:szCs w:val="21"/>
        </w:rPr>
        <w:sectPr>
          <w:footerReference r:id="rId4" w:type="default"/>
          <w:pgSz w:w="11906" w:h="16838"/>
          <w:pgMar w:top="1247" w:right="1247" w:bottom="1247" w:left="1247" w:header="720" w:footer="720" w:gutter="0"/>
          <w:cols w:space="720" w:num="1"/>
          <w:docGrid w:linePitch="331" w:charSpace="0"/>
        </w:sectPr>
      </w:pPr>
      <w:r>
        <w:rPr>
          <w:rFonts w:hint="eastAsia" w:ascii="宋体" w:hAnsi="宋体" w:cs="宋体"/>
          <w:szCs w:val="21"/>
          <w:lang w:val="en-US" w:eastAsia="zh-CN"/>
        </w:rPr>
        <w:t>4</w:t>
      </w:r>
      <w:r>
        <w:rPr>
          <w:rFonts w:hint="eastAsia" w:ascii="宋体" w:hAnsi="宋体" w:cs="宋体"/>
          <w:szCs w:val="21"/>
        </w:rPr>
        <w:t>.</w:t>
      </w:r>
      <w:r>
        <w:rPr>
          <w:rFonts w:hint="eastAsia" w:ascii="宋体" w:hAnsi="宋体" w:cs="宋体"/>
          <w:b/>
          <w:bCs/>
          <w:szCs w:val="21"/>
        </w:rPr>
        <w:t>本项目采购标的对应的中小企业划分标准所属行业：</w:t>
      </w:r>
      <w:r>
        <w:rPr>
          <w:rFonts w:hint="eastAsia" w:ascii="宋体" w:hAnsi="宋体" w:cs="宋体"/>
          <w:b/>
          <w:bCs/>
          <w:szCs w:val="21"/>
          <w:u w:val="single"/>
        </w:rPr>
        <w:t>其他未列明行业</w:t>
      </w:r>
      <w:r>
        <w:rPr>
          <w:rFonts w:hint="eastAsia" w:ascii="宋体" w:hAnsi="宋体" w:cs="宋体"/>
          <w:bCs/>
          <w:szCs w:val="21"/>
        </w:rPr>
        <w:t>。</w:t>
      </w:r>
    </w:p>
    <w:tbl>
      <w:tblPr>
        <w:tblStyle w:val="9"/>
        <w:tblW w:w="9401" w:type="dxa"/>
        <w:jc w:val="center"/>
        <w:tblLayout w:type="fixed"/>
        <w:tblCellMar>
          <w:top w:w="0" w:type="dxa"/>
          <w:left w:w="0" w:type="dxa"/>
          <w:bottom w:w="0" w:type="dxa"/>
          <w:right w:w="0" w:type="dxa"/>
        </w:tblCellMar>
      </w:tblPr>
      <w:tblGrid>
        <w:gridCol w:w="839"/>
        <w:gridCol w:w="937"/>
        <w:gridCol w:w="1063"/>
        <w:gridCol w:w="600"/>
        <w:gridCol w:w="5962"/>
      </w:tblGrid>
      <w:tr w14:paraId="0BD676B0">
        <w:tblPrEx>
          <w:tblCellMar>
            <w:top w:w="0" w:type="dxa"/>
            <w:left w:w="0" w:type="dxa"/>
            <w:bottom w:w="0" w:type="dxa"/>
            <w:right w:w="0" w:type="dxa"/>
          </w:tblCellMar>
        </w:tblPrEx>
        <w:trPr>
          <w:trHeight w:val="374" w:hRule="atLeast"/>
          <w:jc w:val="center"/>
        </w:trPr>
        <w:tc>
          <w:tcPr>
            <w:tcW w:w="9401" w:type="dxa"/>
            <w:gridSpan w:val="5"/>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562C3457">
            <w:pPr>
              <w:spacing w:line="360" w:lineRule="auto"/>
              <w:jc w:val="left"/>
              <w:rPr>
                <w:rFonts w:ascii="宋体" w:hAnsi="宋体"/>
                <w:b/>
                <w:bCs/>
                <w:color w:val="auto"/>
                <w:szCs w:val="21"/>
              </w:rPr>
            </w:pPr>
            <w:r>
              <w:rPr>
                <w:rFonts w:hint="eastAsia" w:ascii="宋体" w:hAnsi="宋体" w:cs="宋体"/>
                <w:color w:val="auto"/>
                <w:szCs w:val="21"/>
              </w:rPr>
              <w:t>▲</w:t>
            </w:r>
            <w:r>
              <w:rPr>
                <w:rFonts w:hint="eastAsia" w:ascii="宋体" w:hAnsi="宋体"/>
                <w:b/>
                <w:bCs/>
                <w:color w:val="auto"/>
                <w:szCs w:val="21"/>
              </w:rPr>
              <w:t>一、技术需求</w:t>
            </w:r>
          </w:p>
        </w:tc>
      </w:tr>
      <w:tr w14:paraId="13398485">
        <w:tblPrEx>
          <w:tblCellMar>
            <w:top w:w="0" w:type="dxa"/>
            <w:left w:w="0" w:type="dxa"/>
            <w:bottom w:w="0" w:type="dxa"/>
            <w:right w:w="0" w:type="dxa"/>
          </w:tblCellMar>
        </w:tblPrEx>
        <w:trPr>
          <w:trHeight w:val="374"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2940200">
            <w:pPr>
              <w:spacing w:line="360" w:lineRule="auto"/>
              <w:jc w:val="center"/>
              <w:rPr>
                <w:rFonts w:ascii="宋体" w:hAnsi="宋体"/>
                <w:b/>
                <w:bCs/>
                <w:color w:val="auto"/>
                <w:szCs w:val="21"/>
              </w:rPr>
            </w:pPr>
            <w:r>
              <w:rPr>
                <w:rFonts w:hint="eastAsia" w:ascii="宋体" w:hAnsi="宋体"/>
                <w:b/>
                <w:bCs/>
                <w:color w:val="auto"/>
                <w:szCs w:val="21"/>
              </w:rPr>
              <w:t>分标</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717DE62">
            <w:pPr>
              <w:spacing w:line="360" w:lineRule="auto"/>
              <w:jc w:val="center"/>
              <w:rPr>
                <w:rFonts w:ascii="宋体" w:hAnsi="宋体"/>
                <w:b/>
                <w:bCs/>
                <w:color w:val="auto"/>
                <w:szCs w:val="21"/>
              </w:rPr>
            </w:pPr>
            <w:r>
              <w:rPr>
                <w:rFonts w:hint="eastAsia" w:ascii="宋体" w:hAnsi="宋体"/>
                <w:b/>
                <w:bCs/>
                <w:color w:val="auto"/>
                <w:szCs w:val="21"/>
              </w:rPr>
              <w:t>标的名称</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92CE307">
            <w:pPr>
              <w:spacing w:line="360" w:lineRule="auto"/>
              <w:jc w:val="center"/>
              <w:rPr>
                <w:rFonts w:ascii="宋体" w:hAnsi="宋体"/>
                <w:b/>
                <w:bCs/>
                <w:color w:val="auto"/>
                <w:szCs w:val="21"/>
              </w:rPr>
            </w:pPr>
            <w:r>
              <w:rPr>
                <w:rFonts w:hint="eastAsia" w:ascii="宋体" w:hAnsi="宋体"/>
                <w:b/>
                <w:bCs/>
                <w:color w:val="auto"/>
                <w:szCs w:val="21"/>
              </w:rPr>
              <w:t>数量</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594BAC1E">
            <w:pPr>
              <w:spacing w:line="360" w:lineRule="auto"/>
              <w:jc w:val="center"/>
              <w:rPr>
                <w:rFonts w:ascii="宋体" w:hAnsi="宋体"/>
                <w:b/>
                <w:bCs/>
                <w:color w:val="auto"/>
                <w:szCs w:val="21"/>
              </w:rPr>
            </w:pPr>
            <w:r>
              <w:rPr>
                <w:rFonts w:hint="eastAsia" w:ascii="宋体" w:hAnsi="宋体"/>
                <w:b/>
                <w:bCs/>
                <w:color w:val="auto"/>
                <w:szCs w:val="21"/>
              </w:rPr>
              <w:t>技术需求</w:t>
            </w:r>
          </w:p>
        </w:tc>
      </w:tr>
      <w:tr w14:paraId="42211836">
        <w:tblPrEx>
          <w:tblCellMar>
            <w:top w:w="0" w:type="dxa"/>
            <w:left w:w="0" w:type="dxa"/>
            <w:bottom w:w="0" w:type="dxa"/>
            <w:right w:w="0" w:type="dxa"/>
          </w:tblCellMar>
        </w:tblPrEx>
        <w:trPr>
          <w:trHeight w:val="3163"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B25A00C">
            <w:pPr>
              <w:spacing w:line="360" w:lineRule="auto"/>
              <w:jc w:val="center"/>
              <w:rPr>
                <w:rFonts w:ascii="宋体" w:hAnsi="宋体"/>
                <w:color w:val="auto"/>
                <w:szCs w:val="21"/>
              </w:rPr>
            </w:pPr>
            <w:r>
              <w:rPr>
                <w:rFonts w:hint="eastAsia" w:ascii="宋体" w:hAnsi="宋体"/>
                <w:color w:val="auto"/>
                <w:szCs w:val="21"/>
              </w:rPr>
              <w:t>分标1</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9F6F853">
            <w:pPr>
              <w:spacing w:line="360" w:lineRule="auto"/>
              <w:jc w:val="center"/>
              <w:rPr>
                <w:rFonts w:ascii="宋体" w:hAnsi="宋体"/>
                <w:color w:val="auto"/>
                <w:szCs w:val="21"/>
              </w:rPr>
            </w:pPr>
            <w:r>
              <w:rPr>
                <w:rFonts w:hint="eastAsia" w:ascii="宋体" w:hAnsi="宋体"/>
                <w:color w:val="auto"/>
                <w:szCs w:val="21"/>
              </w:rPr>
              <w:t>水利水电工程技术评估、评审服务（1）</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99C121E">
            <w:pPr>
              <w:spacing w:line="360" w:lineRule="auto"/>
              <w:jc w:val="center"/>
              <w:rPr>
                <w:rFonts w:ascii="宋体" w:hAnsi="宋体"/>
                <w:color w:val="auto"/>
                <w:szCs w:val="21"/>
              </w:rPr>
            </w:pPr>
            <w:r>
              <w:rPr>
                <w:rFonts w:hint="eastAsia" w:ascii="宋体" w:hAnsi="宋体"/>
                <w:color w:val="auto"/>
                <w:szCs w:val="21"/>
              </w:rPr>
              <w:t>1项</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66785730">
            <w:pPr>
              <w:spacing w:line="360" w:lineRule="auto"/>
              <w:ind w:firstLine="399" w:firstLineChars="190"/>
              <w:jc w:val="left"/>
              <w:rPr>
                <w:rFonts w:ascii="宋体" w:hAnsi="宋体"/>
                <w:color w:val="auto"/>
                <w:szCs w:val="21"/>
              </w:rPr>
            </w:pPr>
            <w:r>
              <w:rPr>
                <w:rFonts w:hint="eastAsia" w:ascii="宋体" w:hAnsi="宋体"/>
                <w:color w:val="auto"/>
                <w:szCs w:val="21"/>
              </w:rPr>
              <w:t>投标人提供</w:t>
            </w:r>
            <w:r>
              <w:rPr>
                <w:rFonts w:hint="eastAsia" w:ascii="宋体" w:hAnsi="宋体"/>
                <w:color w:val="auto"/>
                <w:szCs w:val="21"/>
                <w:lang w:eastAsia="zh-CN"/>
              </w:rPr>
              <w:t>2026-2027年</w:t>
            </w:r>
            <w:r>
              <w:rPr>
                <w:rFonts w:hint="eastAsia" w:ascii="宋体" w:hAnsi="宋体"/>
                <w:color w:val="auto"/>
                <w:szCs w:val="21"/>
              </w:rPr>
              <w:t>度全区大型灌区工程（灌溉面积达50万亩及以上）和工程范围或规模较大且技术较复杂的重要大型水利工程项目规划、可行性研究、初步设计以及相关专题报告等技术评估、评审服务。投标人按照有关技术标准、规程规范要求对送审项目报告书进行技术评审，使报告书的编制内容和深度满足要求，在合同约定时限内提交合格的项目技术审查评估报告及项目编制单位修改完善的项目设计文件（专题报告）等成果，提交成果需经广西壮族自治区水利技术中心复核通过。</w:t>
            </w:r>
          </w:p>
        </w:tc>
      </w:tr>
      <w:tr w14:paraId="4FAEA37A">
        <w:tblPrEx>
          <w:tblCellMar>
            <w:top w:w="0" w:type="dxa"/>
            <w:left w:w="0" w:type="dxa"/>
            <w:bottom w:w="0" w:type="dxa"/>
            <w:right w:w="0" w:type="dxa"/>
          </w:tblCellMar>
        </w:tblPrEx>
        <w:trPr>
          <w:trHeight w:val="4009"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CF9BB74">
            <w:pPr>
              <w:spacing w:line="360" w:lineRule="auto"/>
              <w:jc w:val="center"/>
              <w:rPr>
                <w:rFonts w:ascii="宋体" w:hAnsi="宋体"/>
                <w:color w:val="auto"/>
                <w:szCs w:val="21"/>
              </w:rPr>
            </w:pPr>
            <w:r>
              <w:rPr>
                <w:rFonts w:hint="eastAsia" w:ascii="宋体" w:hAnsi="宋体"/>
                <w:color w:val="auto"/>
                <w:szCs w:val="21"/>
              </w:rPr>
              <w:t>分标2</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9E35D41">
            <w:pPr>
              <w:spacing w:line="360" w:lineRule="auto"/>
              <w:jc w:val="center"/>
              <w:rPr>
                <w:rFonts w:ascii="宋体" w:hAnsi="宋体"/>
                <w:color w:val="auto"/>
                <w:szCs w:val="21"/>
              </w:rPr>
            </w:pPr>
            <w:r>
              <w:rPr>
                <w:rFonts w:hint="eastAsia" w:ascii="宋体" w:hAnsi="宋体"/>
                <w:color w:val="auto"/>
                <w:szCs w:val="21"/>
              </w:rPr>
              <w:t>水利水电工程技术评估、评审服务（2）</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9475764">
            <w:pPr>
              <w:spacing w:line="360" w:lineRule="auto"/>
              <w:jc w:val="center"/>
              <w:rPr>
                <w:rFonts w:ascii="宋体" w:hAnsi="宋体"/>
                <w:color w:val="auto"/>
                <w:szCs w:val="21"/>
              </w:rPr>
            </w:pPr>
            <w:r>
              <w:rPr>
                <w:rFonts w:hint="eastAsia" w:ascii="宋体" w:hAnsi="宋体"/>
                <w:color w:val="auto"/>
                <w:szCs w:val="21"/>
              </w:rPr>
              <w:t>1项</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3DD824F8">
            <w:pPr>
              <w:spacing w:line="360" w:lineRule="auto"/>
              <w:ind w:firstLine="399" w:firstLineChars="190"/>
              <w:jc w:val="left"/>
              <w:rPr>
                <w:rFonts w:ascii="宋体" w:hAnsi="宋体"/>
                <w:color w:val="auto"/>
                <w:szCs w:val="21"/>
              </w:rPr>
            </w:pPr>
            <w:r>
              <w:rPr>
                <w:rFonts w:hint="eastAsia" w:ascii="宋体" w:hAnsi="宋体"/>
                <w:color w:val="auto"/>
                <w:szCs w:val="21"/>
              </w:rPr>
              <w:t>投标人提供</w:t>
            </w:r>
            <w:r>
              <w:rPr>
                <w:rFonts w:hint="eastAsia" w:ascii="宋体" w:hAnsi="宋体"/>
                <w:color w:val="auto"/>
                <w:szCs w:val="21"/>
                <w:lang w:eastAsia="zh-CN"/>
              </w:rPr>
              <w:t>2026-2027年</w:t>
            </w:r>
            <w:r>
              <w:rPr>
                <w:rFonts w:hint="eastAsia" w:ascii="宋体" w:hAnsi="宋体"/>
                <w:color w:val="auto"/>
                <w:szCs w:val="21"/>
              </w:rPr>
              <w:t>度除大型灌区工程（灌溉面积达50万亩及以上）和工程范围或规模较大且技术较复杂的重要大型水利工程项目以外的自治区本级、跨市以及桂林、梧州、贺州市的水利水电项目勘察设计成果、水文基础设施建设项目勘察设计成果及水资源论证报告为主的技术评估、评审服务，采购人交办的其他项目的技术评估、评审服务。投标人按照有关技术标准、规程规范要求对送审项目报告书进行技术评审，使报告书的编制内容和深度满足要求，在合同约定时限内提交合格的项目技术审查评估报告及项目编制单位修改完善的项目设计文件（专题报告）等成果，提交成果需经广西壮族自治区水利技术中心复核通过。</w:t>
            </w:r>
          </w:p>
        </w:tc>
      </w:tr>
      <w:tr w14:paraId="7EFA24A8">
        <w:tblPrEx>
          <w:tblCellMar>
            <w:top w:w="0" w:type="dxa"/>
            <w:left w:w="0" w:type="dxa"/>
            <w:bottom w:w="0" w:type="dxa"/>
            <w:right w:w="0" w:type="dxa"/>
          </w:tblCellMar>
        </w:tblPrEx>
        <w:trPr>
          <w:trHeight w:val="3980"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3A1F212F">
            <w:pPr>
              <w:spacing w:line="360" w:lineRule="auto"/>
              <w:jc w:val="center"/>
              <w:rPr>
                <w:rFonts w:ascii="宋体" w:hAnsi="宋体"/>
                <w:color w:val="auto"/>
                <w:szCs w:val="21"/>
              </w:rPr>
            </w:pPr>
            <w:r>
              <w:rPr>
                <w:rFonts w:hint="eastAsia" w:ascii="宋体" w:hAnsi="宋体"/>
                <w:color w:val="auto"/>
                <w:szCs w:val="21"/>
              </w:rPr>
              <w:t>分标3</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35DADB3">
            <w:pPr>
              <w:spacing w:line="360" w:lineRule="auto"/>
              <w:jc w:val="center"/>
              <w:rPr>
                <w:rFonts w:ascii="宋体" w:hAnsi="宋体"/>
                <w:color w:val="auto"/>
                <w:szCs w:val="21"/>
              </w:rPr>
            </w:pPr>
            <w:r>
              <w:rPr>
                <w:rFonts w:hint="eastAsia" w:ascii="宋体" w:hAnsi="宋体"/>
                <w:color w:val="auto"/>
                <w:szCs w:val="21"/>
              </w:rPr>
              <w:t>水利水电工程技术评估、评审服务（3）</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64260E83">
            <w:pPr>
              <w:spacing w:line="360" w:lineRule="auto"/>
              <w:jc w:val="center"/>
              <w:rPr>
                <w:rFonts w:ascii="宋体" w:hAnsi="宋体"/>
                <w:color w:val="auto"/>
                <w:szCs w:val="21"/>
              </w:rPr>
            </w:pPr>
            <w:r>
              <w:rPr>
                <w:rFonts w:hint="eastAsia" w:ascii="宋体" w:hAnsi="宋体"/>
                <w:color w:val="auto"/>
                <w:szCs w:val="21"/>
              </w:rPr>
              <w:t>1项</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39EFCFDA">
            <w:pPr>
              <w:spacing w:line="360" w:lineRule="auto"/>
              <w:ind w:firstLine="399" w:firstLineChars="190"/>
              <w:jc w:val="left"/>
              <w:rPr>
                <w:rFonts w:ascii="宋体" w:hAnsi="宋体"/>
                <w:color w:val="auto"/>
                <w:szCs w:val="21"/>
              </w:rPr>
            </w:pPr>
            <w:r>
              <w:rPr>
                <w:rFonts w:hint="eastAsia" w:ascii="宋体" w:hAnsi="宋体"/>
                <w:color w:val="auto"/>
                <w:szCs w:val="21"/>
              </w:rPr>
              <w:t>投标人提供</w:t>
            </w:r>
            <w:r>
              <w:rPr>
                <w:rFonts w:hint="eastAsia" w:ascii="宋体" w:hAnsi="宋体"/>
                <w:color w:val="auto"/>
                <w:szCs w:val="21"/>
                <w:lang w:eastAsia="zh-CN"/>
              </w:rPr>
              <w:t>2026-2027年</w:t>
            </w:r>
            <w:r>
              <w:rPr>
                <w:rFonts w:hint="eastAsia" w:ascii="宋体" w:hAnsi="宋体"/>
                <w:color w:val="auto"/>
                <w:szCs w:val="21"/>
              </w:rPr>
              <w:t>度除大型灌区工程（灌溉面积达50万亩及以上）和工程范围或规模较大且技术较复杂的重要大型水利工程项目以外的南宁、崇左、来宾市的水利水电项目勘察设计成果、水文基础设施建设项目勘察设计成果及水资源论证报告为主的技术评估、评审服务，采购人交办的其他项目的技术评估、评审服务。投标人按照有关技术标准、规程规范要求对送审项目报告书进行技术评审，使报告书的编制内容和深度满足要求，在合同约定时限内提交合格的项目技术审查评估报告及项目编制单位修改完善的项目设计文件（专题报告）等成果，提交成果需经广西壮族自治区水利技术中心复核通过。</w:t>
            </w:r>
          </w:p>
        </w:tc>
      </w:tr>
      <w:tr w14:paraId="10E11176">
        <w:tblPrEx>
          <w:tblCellMar>
            <w:top w:w="0" w:type="dxa"/>
            <w:left w:w="0" w:type="dxa"/>
            <w:bottom w:w="0" w:type="dxa"/>
            <w:right w:w="0" w:type="dxa"/>
          </w:tblCellMar>
        </w:tblPrEx>
        <w:trPr>
          <w:trHeight w:val="369"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85FDF9F">
            <w:pPr>
              <w:spacing w:line="360" w:lineRule="auto"/>
              <w:jc w:val="center"/>
              <w:rPr>
                <w:rFonts w:ascii="宋体" w:hAnsi="宋体"/>
                <w:color w:val="auto"/>
                <w:szCs w:val="21"/>
              </w:rPr>
            </w:pPr>
            <w:r>
              <w:rPr>
                <w:rFonts w:hint="eastAsia" w:ascii="宋体" w:hAnsi="宋体"/>
                <w:color w:val="auto"/>
                <w:szCs w:val="21"/>
              </w:rPr>
              <w:t>分标4</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08054696">
            <w:pPr>
              <w:spacing w:line="360" w:lineRule="auto"/>
              <w:jc w:val="center"/>
              <w:rPr>
                <w:rFonts w:ascii="宋体" w:hAnsi="宋体"/>
                <w:color w:val="auto"/>
                <w:szCs w:val="21"/>
              </w:rPr>
            </w:pPr>
            <w:r>
              <w:rPr>
                <w:rFonts w:hint="eastAsia" w:ascii="宋体" w:hAnsi="宋体"/>
                <w:color w:val="auto"/>
                <w:szCs w:val="21"/>
              </w:rPr>
              <w:t>水利水电工程技术评估、评审服务（4）</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80F38C6">
            <w:pPr>
              <w:spacing w:line="360" w:lineRule="auto"/>
              <w:jc w:val="center"/>
              <w:rPr>
                <w:rFonts w:ascii="宋体" w:hAnsi="宋体"/>
                <w:color w:val="auto"/>
                <w:szCs w:val="21"/>
              </w:rPr>
            </w:pPr>
            <w:r>
              <w:rPr>
                <w:rFonts w:hint="eastAsia" w:ascii="宋体" w:hAnsi="宋体"/>
                <w:color w:val="auto"/>
                <w:szCs w:val="21"/>
              </w:rPr>
              <w:t>1项</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329DB209">
            <w:pPr>
              <w:spacing w:line="360" w:lineRule="auto"/>
              <w:ind w:firstLine="399" w:firstLineChars="190"/>
              <w:jc w:val="left"/>
              <w:rPr>
                <w:rFonts w:ascii="宋体" w:hAnsi="宋体"/>
                <w:color w:val="auto"/>
                <w:szCs w:val="21"/>
              </w:rPr>
            </w:pPr>
            <w:r>
              <w:rPr>
                <w:rFonts w:hint="eastAsia" w:ascii="宋体" w:hAnsi="宋体"/>
                <w:color w:val="auto"/>
                <w:szCs w:val="21"/>
              </w:rPr>
              <w:t>投标人提供</w:t>
            </w:r>
            <w:r>
              <w:rPr>
                <w:rFonts w:hint="eastAsia" w:ascii="宋体" w:hAnsi="宋体"/>
                <w:color w:val="auto"/>
                <w:szCs w:val="21"/>
                <w:lang w:eastAsia="zh-CN"/>
              </w:rPr>
              <w:t>2026-2027年</w:t>
            </w:r>
            <w:r>
              <w:rPr>
                <w:rFonts w:hint="eastAsia" w:ascii="宋体" w:hAnsi="宋体"/>
                <w:color w:val="auto"/>
                <w:szCs w:val="21"/>
              </w:rPr>
              <w:t>度除大型灌区工程（灌溉面积达50万亩及以上）和工程范围或规模较大且技术较复杂的重要大型水利工程项目以外的玉林、贵港、北海、钦州市的水利水电项目勘察设计成果、水文基础设施建设项目勘察设计成果及水资源论证报告为主的技术评估、评审服务，采购人交办的其他项目的技术评估、评审服务。投标人按照有关技术标准、规程规范要求对送审项目报告书进行技术评审，使报告书的编制内容和深度满足要求，在合同约定时限内提交合格的项目技术审查评估报告及项目编制单位修改完善的项目设计文件（专题报告）等成果，提交成果需经广西壮族自治区水利技术中心复核通过。</w:t>
            </w:r>
          </w:p>
        </w:tc>
      </w:tr>
      <w:tr w14:paraId="330F3724">
        <w:tblPrEx>
          <w:tblCellMar>
            <w:top w:w="0" w:type="dxa"/>
            <w:left w:w="0" w:type="dxa"/>
            <w:bottom w:w="0" w:type="dxa"/>
            <w:right w:w="0" w:type="dxa"/>
          </w:tblCellMar>
        </w:tblPrEx>
        <w:trPr>
          <w:trHeight w:val="369"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6E7993F4">
            <w:pPr>
              <w:spacing w:line="360" w:lineRule="auto"/>
              <w:jc w:val="center"/>
              <w:rPr>
                <w:rFonts w:ascii="宋体" w:hAnsi="宋体"/>
                <w:color w:val="auto"/>
                <w:szCs w:val="21"/>
              </w:rPr>
            </w:pPr>
            <w:r>
              <w:rPr>
                <w:rFonts w:hint="eastAsia" w:ascii="宋体" w:hAnsi="宋体"/>
                <w:color w:val="auto"/>
                <w:szCs w:val="21"/>
              </w:rPr>
              <w:t>分标5</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10354EE">
            <w:pPr>
              <w:spacing w:line="360" w:lineRule="auto"/>
              <w:jc w:val="center"/>
              <w:rPr>
                <w:rFonts w:ascii="宋体" w:hAnsi="宋体"/>
                <w:color w:val="auto"/>
                <w:szCs w:val="21"/>
              </w:rPr>
            </w:pPr>
            <w:r>
              <w:rPr>
                <w:rFonts w:hint="eastAsia" w:ascii="宋体" w:hAnsi="宋体"/>
                <w:color w:val="auto"/>
                <w:szCs w:val="21"/>
              </w:rPr>
              <w:t>水利水电工程技术评估、评审服务（5）</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F7072D8">
            <w:pPr>
              <w:spacing w:line="360" w:lineRule="auto"/>
              <w:jc w:val="center"/>
              <w:rPr>
                <w:rFonts w:ascii="宋体" w:hAnsi="宋体"/>
                <w:color w:val="auto"/>
                <w:szCs w:val="21"/>
              </w:rPr>
            </w:pPr>
            <w:r>
              <w:rPr>
                <w:rFonts w:hint="eastAsia" w:ascii="宋体" w:hAnsi="宋体"/>
                <w:color w:val="auto"/>
                <w:szCs w:val="21"/>
              </w:rPr>
              <w:t>1项</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9C3E806">
            <w:pPr>
              <w:spacing w:line="360" w:lineRule="auto"/>
              <w:ind w:firstLine="399" w:firstLineChars="190"/>
              <w:jc w:val="left"/>
              <w:rPr>
                <w:rFonts w:ascii="宋体" w:hAnsi="宋体"/>
                <w:color w:val="auto"/>
                <w:szCs w:val="21"/>
              </w:rPr>
            </w:pPr>
            <w:r>
              <w:rPr>
                <w:rFonts w:hint="eastAsia" w:ascii="宋体" w:hAnsi="宋体"/>
                <w:color w:val="auto"/>
                <w:szCs w:val="21"/>
              </w:rPr>
              <w:t>投标人提供</w:t>
            </w:r>
            <w:r>
              <w:rPr>
                <w:rFonts w:hint="eastAsia" w:ascii="宋体" w:hAnsi="宋体"/>
                <w:color w:val="auto"/>
                <w:szCs w:val="21"/>
                <w:lang w:eastAsia="zh-CN"/>
              </w:rPr>
              <w:t>2026-2027年</w:t>
            </w:r>
            <w:r>
              <w:rPr>
                <w:rFonts w:hint="eastAsia" w:ascii="宋体" w:hAnsi="宋体"/>
                <w:color w:val="auto"/>
                <w:szCs w:val="21"/>
              </w:rPr>
              <w:t>度除大型灌区工程（灌溉面积达50万亩及以上）和工程范围或规模较大且技术较复杂的重要大型水利工程项目以外的柳州、河池、百色、防城港市的水利水电项目勘察设计成果、水文基础设施建设项目勘察设计成果及水资源论证报告为主的技术评估、评审服务，采购人交办的其他项目的技术评估、评审服务。投标人按照有关技术标准、规程规范要求对送审项目报告书进行技术评审，使报告书的编制内容和深度满足要求，在合同约定时限内提交合格的项目技术审查评估报告及项目编制单位修改完善的项目设计文件（专题报告）等成果，提交成果需经广西壮族自治区水利技术中心复核通过。</w:t>
            </w:r>
          </w:p>
        </w:tc>
      </w:tr>
      <w:tr w14:paraId="6E8660D5">
        <w:tblPrEx>
          <w:tblCellMar>
            <w:top w:w="0" w:type="dxa"/>
            <w:left w:w="0" w:type="dxa"/>
            <w:bottom w:w="0" w:type="dxa"/>
            <w:right w:w="0" w:type="dxa"/>
          </w:tblCellMar>
        </w:tblPrEx>
        <w:trPr>
          <w:trHeight w:val="369"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85227BF">
            <w:pPr>
              <w:spacing w:line="360" w:lineRule="auto"/>
              <w:jc w:val="center"/>
              <w:rPr>
                <w:rFonts w:ascii="宋体" w:hAnsi="宋体" w:cs="宋体"/>
                <w:color w:val="auto"/>
                <w:szCs w:val="21"/>
              </w:rPr>
            </w:pPr>
            <w:r>
              <w:rPr>
                <w:rFonts w:ascii="宋体" w:hAnsi="宋体" w:cs="宋体"/>
                <w:color w:val="auto"/>
                <w:szCs w:val="21"/>
              </w:rPr>
              <w:t>分标</w:t>
            </w:r>
            <w:r>
              <w:rPr>
                <w:rFonts w:hint="eastAsia" w:ascii="宋体" w:hAnsi="宋体" w:cs="宋体"/>
                <w:color w:val="auto"/>
                <w:szCs w:val="21"/>
              </w:rPr>
              <w:t>6</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94E482E">
            <w:pPr>
              <w:spacing w:line="360" w:lineRule="auto"/>
              <w:jc w:val="center"/>
              <w:rPr>
                <w:rFonts w:ascii="宋体" w:hAnsi="宋体" w:cs="宋体"/>
                <w:color w:val="auto"/>
                <w:szCs w:val="21"/>
              </w:rPr>
            </w:pPr>
            <w:r>
              <w:rPr>
                <w:rFonts w:ascii="宋体" w:hAnsi="宋体" w:cs="宋体"/>
                <w:color w:val="auto"/>
                <w:szCs w:val="21"/>
              </w:rPr>
              <w:t>水土保持方案技术审查评估</w:t>
            </w:r>
            <w:r>
              <w:rPr>
                <w:rFonts w:hint="eastAsia" w:ascii="宋体" w:hAnsi="宋体" w:cs="宋体"/>
                <w:color w:val="auto"/>
                <w:szCs w:val="21"/>
              </w:rPr>
              <w:t>服务</w:t>
            </w:r>
            <w:r>
              <w:rPr>
                <w:rFonts w:ascii="宋体" w:hAnsi="宋体" w:cs="宋体"/>
                <w:color w:val="auto"/>
                <w:szCs w:val="21"/>
              </w:rPr>
              <w:t>（1）</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942A119">
            <w:pPr>
              <w:spacing w:line="360" w:lineRule="auto"/>
              <w:jc w:val="center"/>
              <w:rPr>
                <w:rFonts w:ascii="宋体" w:hAnsi="宋体" w:cs="宋体"/>
                <w:color w:val="auto"/>
                <w:szCs w:val="21"/>
              </w:rPr>
            </w:pPr>
            <w:r>
              <w:rPr>
                <w:rFonts w:ascii="宋体" w:hAnsi="宋体" w:cs="宋体"/>
                <w:color w:val="auto"/>
                <w:szCs w:val="21"/>
              </w:rPr>
              <w:t>1项</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7348533">
            <w:pPr>
              <w:spacing w:line="360" w:lineRule="auto"/>
              <w:ind w:firstLine="399" w:firstLineChars="190"/>
              <w:jc w:val="left"/>
              <w:rPr>
                <w:rFonts w:ascii="宋体" w:hAnsi="宋体" w:cs="宋体"/>
                <w:color w:val="auto"/>
                <w:szCs w:val="21"/>
              </w:rPr>
            </w:pPr>
            <w:r>
              <w:rPr>
                <w:rFonts w:ascii="宋体" w:hAnsi="宋体" w:cs="宋体"/>
                <w:color w:val="auto"/>
                <w:szCs w:val="21"/>
              </w:rPr>
              <w:t>投标人提供</w:t>
            </w:r>
            <w:r>
              <w:rPr>
                <w:rFonts w:hint="eastAsia" w:ascii="宋体" w:hAnsi="宋体" w:cs="宋体"/>
                <w:color w:val="auto"/>
                <w:szCs w:val="21"/>
                <w:lang w:eastAsia="zh-CN"/>
              </w:rPr>
              <w:t>2026-2027年</w:t>
            </w:r>
            <w:r>
              <w:rPr>
                <w:rFonts w:ascii="宋体" w:hAnsi="宋体" w:cs="宋体"/>
                <w:color w:val="auto"/>
                <w:szCs w:val="21"/>
              </w:rPr>
              <w:t>度自治区本级以及柳州、桂林、梧州、贵港、贺州、河池、来宾市的生产建设项目水土保持方案技术审查评估服务。投标人按照有关技术标准、规程规范要求对送审项目报告书进行技术评审，使报告书的编制内容和深度满足要求，在合同约定时限内提交合格的项目技术审查评估报告及项目编制单位修改完善的项目设计文件（专题报告）等成果，提交成果需经广西壮族自治区水利技术中心复核通过。</w:t>
            </w:r>
          </w:p>
        </w:tc>
      </w:tr>
      <w:tr w14:paraId="18ABF81B">
        <w:tblPrEx>
          <w:tblCellMar>
            <w:top w:w="0" w:type="dxa"/>
            <w:left w:w="0" w:type="dxa"/>
            <w:bottom w:w="0" w:type="dxa"/>
            <w:right w:w="0" w:type="dxa"/>
          </w:tblCellMar>
        </w:tblPrEx>
        <w:trPr>
          <w:trHeight w:val="369" w:hRule="atLeast"/>
          <w:jc w:val="center"/>
        </w:trPr>
        <w:tc>
          <w:tcPr>
            <w:tcW w:w="839" w:type="dxa"/>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60FB3F86">
            <w:pPr>
              <w:spacing w:line="360" w:lineRule="auto"/>
              <w:jc w:val="center"/>
              <w:rPr>
                <w:rFonts w:ascii="宋体" w:hAnsi="宋体" w:cs="宋体"/>
                <w:color w:val="auto"/>
                <w:szCs w:val="21"/>
              </w:rPr>
            </w:pPr>
            <w:r>
              <w:rPr>
                <w:rFonts w:ascii="宋体" w:hAnsi="宋体" w:cs="宋体"/>
                <w:color w:val="auto"/>
                <w:szCs w:val="21"/>
              </w:rPr>
              <w:t>分标</w:t>
            </w:r>
            <w:r>
              <w:rPr>
                <w:rFonts w:hint="eastAsia" w:ascii="宋体" w:hAnsi="宋体" w:cs="宋体"/>
                <w:color w:val="auto"/>
                <w:szCs w:val="21"/>
              </w:rPr>
              <w:t>7</w:t>
            </w:r>
          </w:p>
        </w:tc>
        <w:tc>
          <w:tcPr>
            <w:tcW w:w="2000" w:type="dxa"/>
            <w:gridSpan w:val="2"/>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55B6C324">
            <w:pPr>
              <w:spacing w:line="360" w:lineRule="auto"/>
              <w:jc w:val="center"/>
              <w:rPr>
                <w:rFonts w:ascii="宋体" w:hAnsi="宋体" w:cs="宋体"/>
                <w:color w:val="auto"/>
                <w:szCs w:val="21"/>
              </w:rPr>
            </w:pPr>
            <w:r>
              <w:rPr>
                <w:rFonts w:ascii="宋体" w:hAnsi="宋体" w:cs="宋体"/>
                <w:color w:val="auto"/>
                <w:szCs w:val="21"/>
              </w:rPr>
              <w:t>水土保持方案技术审查评估</w:t>
            </w:r>
            <w:r>
              <w:rPr>
                <w:rFonts w:hint="eastAsia" w:ascii="宋体" w:hAnsi="宋体" w:cs="宋体"/>
                <w:color w:val="auto"/>
                <w:szCs w:val="21"/>
              </w:rPr>
              <w:t>服务</w:t>
            </w:r>
            <w:r>
              <w:rPr>
                <w:rFonts w:ascii="宋体" w:hAnsi="宋体" w:cs="宋体"/>
                <w:color w:val="auto"/>
                <w:szCs w:val="21"/>
              </w:rPr>
              <w:t>（2）</w:t>
            </w:r>
          </w:p>
        </w:tc>
        <w:tc>
          <w:tcPr>
            <w:tcW w:w="600"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02CBA4CC">
            <w:pPr>
              <w:spacing w:line="360" w:lineRule="auto"/>
              <w:jc w:val="center"/>
              <w:rPr>
                <w:rFonts w:ascii="宋体" w:hAnsi="宋体" w:cs="宋体"/>
                <w:color w:val="auto"/>
                <w:szCs w:val="21"/>
              </w:rPr>
            </w:pPr>
            <w:r>
              <w:rPr>
                <w:rFonts w:ascii="宋体" w:hAnsi="宋体" w:cs="宋体"/>
                <w:color w:val="auto"/>
                <w:szCs w:val="21"/>
              </w:rPr>
              <w:t>1项</w:t>
            </w:r>
          </w:p>
        </w:tc>
        <w:tc>
          <w:tcPr>
            <w:tcW w:w="5962" w:type="dxa"/>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99B5041">
            <w:pPr>
              <w:spacing w:line="360" w:lineRule="auto"/>
              <w:ind w:firstLine="399" w:firstLineChars="190"/>
              <w:jc w:val="left"/>
              <w:rPr>
                <w:rFonts w:ascii="宋体" w:hAnsi="宋体" w:cs="宋体"/>
                <w:color w:val="auto"/>
                <w:szCs w:val="21"/>
              </w:rPr>
            </w:pPr>
            <w:r>
              <w:rPr>
                <w:rFonts w:ascii="宋体" w:hAnsi="宋体" w:cs="宋体"/>
                <w:color w:val="auto"/>
                <w:szCs w:val="21"/>
              </w:rPr>
              <w:t>投标人提供</w:t>
            </w:r>
            <w:r>
              <w:rPr>
                <w:rFonts w:hint="eastAsia" w:ascii="宋体" w:hAnsi="宋体" w:cs="宋体"/>
                <w:color w:val="auto"/>
                <w:szCs w:val="21"/>
                <w:lang w:eastAsia="zh-CN"/>
              </w:rPr>
              <w:t>2026-2027年</w:t>
            </w:r>
            <w:r>
              <w:rPr>
                <w:rFonts w:ascii="宋体" w:hAnsi="宋体" w:cs="宋体"/>
                <w:color w:val="auto"/>
                <w:szCs w:val="21"/>
              </w:rPr>
              <w:t>度南宁、北海、防城港、钦州、玉林、百色、崇左市的生产建设项目水土保持方案技术审查评估服务。投标人按照有关技术标准、规程规范要求对送审项目报告书进行技术评审，使报告书的编制内容和深度满足要求，在合同约定时限内提交合格的项目技术审查评估报告及项目编制单位修改完善的项目设计文件（专题报告）等成果，提交成果需经广西壮族自治区水利技术中心复核通过。</w:t>
            </w:r>
          </w:p>
        </w:tc>
      </w:tr>
      <w:tr w14:paraId="716B924E">
        <w:tblPrEx>
          <w:tblCellMar>
            <w:top w:w="0" w:type="dxa"/>
            <w:left w:w="0" w:type="dxa"/>
            <w:bottom w:w="0" w:type="dxa"/>
            <w:right w:w="0" w:type="dxa"/>
          </w:tblCellMar>
        </w:tblPrEx>
        <w:trPr>
          <w:trHeight w:val="369" w:hRule="atLeast"/>
          <w:jc w:val="center"/>
        </w:trPr>
        <w:tc>
          <w:tcPr>
            <w:tcW w:w="9401" w:type="dxa"/>
            <w:gridSpan w:val="5"/>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46D4F66B">
            <w:pPr>
              <w:spacing w:line="360" w:lineRule="auto"/>
              <w:jc w:val="left"/>
              <w:rPr>
                <w:rFonts w:ascii="宋体" w:hAnsi="宋体"/>
                <w:color w:val="auto"/>
                <w:szCs w:val="21"/>
              </w:rPr>
            </w:pPr>
            <w:r>
              <w:rPr>
                <w:rFonts w:hint="eastAsia" w:ascii="宋体" w:hAnsi="宋体" w:cs="宋体"/>
                <w:color w:val="auto"/>
                <w:szCs w:val="21"/>
              </w:rPr>
              <w:t>▲</w:t>
            </w:r>
            <w:r>
              <w:rPr>
                <w:rFonts w:hint="eastAsia" w:ascii="宋体" w:hAnsi="宋体"/>
                <w:b/>
                <w:bCs/>
                <w:color w:val="auto"/>
                <w:szCs w:val="21"/>
              </w:rPr>
              <w:t>二、商务要求</w:t>
            </w:r>
          </w:p>
        </w:tc>
      </w:tr>
      <w:tr w14:paraId="4AD1F1F7">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36701E94">
            <w:pPr>
              <w:spacing w:line="360" w:lineRule="auto"/>
              <w:jc w:val="center"/>
              <w:rPr>
                <w:rFonts w:ascii="宋体" w:hAnsi="宋体" w:cs="宋体"/>
                <w:color w:val="auto"/>
                <w:szCs w:val="21"/>
                <w:lang w:bidi="ar"/>
              </w:rPr>
            </w:pPr>
            <w:r>
              <w:rPr>
                <w:rFonts w:hint="eastAsia" w:ascii="宋体" w:hAnsi="宋体" w:cs="宋体"/>
                <w:color w:val="auto"/>
                <w:szCs w:val="21"/>
                <w:lang w:bidi="ar"/>
              </w:rPr>
              <w:t>合同签订期</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1173E40">
            <w:pPr>
              <w:spacing w:line="360" w:lineRule="auto"/>
              <w:ind w:firstLine="420" w:firstLineChars="200"/>
              <w:rPr>
                <w:rFonts w:ascii="宋体" w:hAnsi="宋体" w:cs="宋体"/>
                <w:color w:val="auto"/>
                <w:szCs w:val="21"/>
                <w:lang w:bidi="ar"/>
              </w:rPr>
            </w:pPr>
            <w:r>
              <w:rPr>
                <w:rFonts w:hint="eastAsia" w:ascii="宋体" w:hAnsi="宋体" w:cs="宋体"/>
                <w:color w:val="auto"/>
                <w:szCs w:val="21"/>
                <w:lang w:bidi="ar"/>
              </w:rPr>
              <w:t>自中标通知书发出之日起</w:t>
            </w:r>
            <w:r>
              <w:rPr>
                <w:rFonts w:hint="eastAsia" w:ascii="宋体" w:hAnsi="宋体" w:cs="宋体"/>
                <w:color w:val="auto"/>
                <w:szCs w:val="21"/>
                <w:u w:val="single"/>
                <w:lang w:bidi="ar"/>
              </w:rPr>
              <w:t>25</w:t>
            </w:r>
            <w:r>
              <w:rPr>
                <w:rFonts w:hint="eastAsia" w:ascii="宋体" w:hAnsi="宋体" w:cs="宋体"/>
                <w:color w:val="auto"/>
                <w:szCs w:val="21"/>
                <w:lang w:bidi="ar"/>
              </w:rPr>
              <w:t>日内。</w:t>
            </w:r>
          </w:p>
        </w:tc>
      </w:tr>
      <w:tr w14:paraId="5000570F">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B7840B0">
            <w:pPr>
              <w:spacing w:line="360" w:lineRule="auto"/>
              <w:jc w:val="center"/>
              <w:rPr>
                <w:rFonts w:ascii="宋体" w:hAnsi="宋体"/>
                <w:color w:val="auto"/>
                <w:szCs w:val="21"/>
                <w:lang w:bidi="ar"/>
              </w:rPr>
            </w:pPr>
            <w:r>
              <w:rPr>
                <w:rFonts w:hint="eastAsia" w:ascii="宋体" w:hAnsi="宋体"/>
                <w:color w:val="auto"/>
                <w:szCs w:val="21"/>
                <w:lang w:bidi="ar"/>
              </w:rPr>
              <w:t>投标报价要求</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5F8C76F0">
            <w:pPr>
              <w:spacing w:line="360" w:lineRule="auto"/>
              <w:ind w:firstLine="420" w:firstLineChars="200"/>
              <w:textAlignment w:val="top"/>
              <w:rPr>
                <w:rFonts w:ascii="宋体" w:hAnsi="宋体"/>
                <w:color w:val="auto"/>
                <w:szCs w:val="21"/>
              </w:rPr>
            </w:pPr>
            <w:r>
              <w:rPr>
                <w:rFonts w:hint="eastAsia" w:ascii="宋体" w:hAnsi="宋体"/>
                <w:color w:val="auto"/>
                <w:szCs w:val="21"/>
                <w:lang w:bidi="ar"/>
              </w:rPr>
              <w:t>1.工程咨询服务费由投标人根据自身实力及市场价格自行按下浮系数进行报价。</w:t>
            </w:r>
          </w:p>
          <w:p w14:paraId="386B38A2">
            <w:pPr>
              <w:spacing w:line="360" w:lineRule="auto"/>
              <w:ind w:firstLine="399" w:firstLineChars="190"/>
              <w:jc w:val="left"/>
              <w:rPr>
                <w:rFonts w:hint="eastAsia" w:ascii="宋体" w:hAnsi="宋体"/>
                <w:color w:val="auto"/>
                <w:szCs w:val="21"/>
                <w:lang w:bidi="ar"/>
              </w:rPr>
            </w:pPr>
            <w:r>
              <w:rPr>
                <w:rFonts w:hint="eastAsia" w:ascii="宋体" w:hAnsi="宋体"/>
                <w:color w:val="auto"/>
                <w:szCs w:val="21"/>
                <w:lang w:bidi="ar"/>
              </w:rPr>
              <w:t>2.本项目采用下浮系数报价，由投标人根据附件一：《水利厅政府采购技术审查评估服务机构审查评估咨询服务费收费参考标准》报出下浮系数。</w:t>
            </w:r>
          </w:p>
          <w:p w14:paraId="6D3940E2">
            <w:pPr>
              <w:spacing w:line="360" w:lineRule="auto"/>
              <w:ind w:firstLine="422" w:firstLineChars="200"/>
              <w:textAlignment w:val="top"/>
              <w:rPr>
                <w:rFonts w:ascii="宋体" w:hAnsi="宋体"/>
                <w:b/>
                <w:color w:val="auto"/>
                <w:lang w:bidi="ar"/>
              </w:rPr>
            </w:pPr>
            <w:r>
              <w:rPr>
                <w:rFonts w:hint="eastAsia" w:ascii="宋体" w:hAnsi="宋体"/>
                <w:b/>
                <w:color w:val="auto"/>
                <w:lang w:bidi="ar"/>
              </w:rPr>
              <w:t>备注：投标下浮系数的范围为0～100%，保留两位小数。在“第四章 评标方法及评分标准”中“第三节 评分标准（综合评分法）”计算价格分时，投标报价=1-投标下浮系数。</w:t>
            </w:r>
          </w:p>
        </w:tc>
      </w:tr>
      <w:tr w14:paraId="5777AD3D">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09DA9922">
            <w:pPr>
              <w:spacing w:line="360" w:lineRule="auto"/>
              <w:jc w:val="center"/>
              <w:rPr>
                <w:rFonts w:ascii="宋体" w:hAnsi="宋体"/>
                <w:color w:val="auto"/>
                <w:szCs w:val="21"/>
                <w:lang w:bidi="ar"/>
              </w:rPr>
            </w:pPr>
            <w:r>
              <w:rPr>
                <w:rFonts w:hint="eastAsia" w:ascii="宋体" w:hAnsi="宋体"/>
                <w:color w:val="auto"/>
                <w:szCs w:val="21"/>
                <w:lang w:bidi="ar"/>
              </w:rPr>
              <w:t>项目采购要求</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51943B7D">
            <w:pPr>
              <w:spacing w:line="360" w:lineRule="auto"/>
              <w:ind w:firstLine="420" w:firstLineChars="200"/>
              <w:textAlignment w:val="top"/>
              <w:rPr>
                <w:rFonts w:ascii="宋体" w:hAnsi="宋体"/>
                <w:color w:val="auto"/>
                <w:szCs w:val="21"/>
              </w:rPr>
            </w:pPr>
            <w:r>
              <w:rPr>
                <w:rFonts w:hint="eastAsia" w:ascii="宋体" w:hAnsi="宋体"/>
                <w:color w:val="auto"/>
                <w:szCs w:val="21"/>
              </w:rPr>
              <w:t>1.本次采购服务有效期为2年。</w:t>
            </w:r>
          </w:p>
          <w:p w14:paraId="473C3F97">
            <w:pPr>
              <w:spacing w:line="360" w:lineRule="auto"/>
              <w:ind w:firstLine="420" w:firstLineChars="200"/>
              <w:textAlignment w:val="top"/>
              <w:rPr>
                <w:rFonts w:ascii="宋体" w:hAnsi="宋体"/>
                <w:color w:val="auto"/>
                <w:szCs w:val="21"/>
              </w:rPr>
            </w:pPr>
            <w:r>
              <w:rPr>
                <w:rFonts w:hint="eastAsia" w:ascii="宋体" w:hAnsi="宋体"/>
                <w:color w:val="auto"/>
                <w:szCs w:val="21"/>
              </w:rPr>
              <w:t>2.在采购有效期内，广西</w:t>
            </w:r>
            <w:r>
              <w:rPr>
                <w:rFonts w:ascii="宋体" w:hAnsi="宋体" w:cs="宋体"/>
                <w:color w:val="auto"/>
                <w:szCs w:val="21"/>
              </w:rPr>
              <w:t>壮族自治区</w:t>
            </w:r>
            <w:r>
              <w:rPr>
                <w:rFonts w:hint="eastAsia" w:ascii="宋体" w:hAnsi="宋体"/>
                <w:color w:val="auto"/>
                <w:szCs w:val="21"/>
              </w:rPr>
              <w:t>水利技术中心根据项目具体情况和工作需要，与中标人签订单个工程项目技术评估、评审委托合同并开展工作。</w:t>
            </w:r>
          </w:p>
          <w:p w14:paraId="6AA5F103">
            <w:pPr>
              <w:spacing w:line="360" w:lineRule="auto"/>
              <w:ind w:firstLine="420" w:firstLineChars="200"/>
              <w:textAlignment w:val="top"/>
              <w:rPr>
                <w:rFonts w:ascii="宋体" w:hAnsi="宋体"/>
                <w:color w:val="auto"/>
                <w:szCs w:val="21"/>
              </w:rPr>
            </w:pPr>
            <w:r>
              <w:rPr>
                <w:rFonts w:hint="eastAsia" w:ascii="宋体" w:hAnsi="宋体"/>
                <w:color w:val="auto"/>
                <w:szCs w:val="21"/>
              </w:rPr>
              <w:t>3.投标人根据项目情况投入相关专业人员。中标人必须在每个项目审查前提供实施方案送广西</w:t>
            </w:r>
            <w:r>
              <w:rPr>
                <w:rFonts w:ascii="宋体" w:hAnsi="宋体" w:cs="宋体"/>
                <w:color w:val="auto"/>
                <w:szCs w:val="21"/>
              </w:rPr>
              <w:t>壮族自治区</w:t>
            </w:r>
            <w:r>
              <w:rPr>
                <w:rFonts w:hint="eastAsia" w:ascii="宋体" w:hAnsi="宋体"/>
                <w:color w:val="auto"/>
                <w:szCs w:val="21"/>
              </w:rPr>
              <w:t>水利技术中心审核，按投标约定投入相应的专业评审人员，审查途中更换审查人员未经广西</w:t>
            </w:r>
            <w:r>
              <w:rPr>
                <w:rFonts w:ascii="宋体" w:hAnsi="宋体" w:cs="宋体"/>
                <w:color w:val="auto"/>
                <w:szCs w:val="21"/>
              </w:rPr>
              <w:t>壮族自治区</w:t>
            </w:r>
            <w:r>
              <w:rPr>
                <w:rFonts w:hint="eastAsia" w:ascii="宋体" w:hAnsi="宋体"/>
                <w:color w:val="auto"/>
                <w:szCs w:val="21"/>
              </w:rPr>
              <w:t>水利技术中心同意而擅自更换的，则视为自动放弃审查资格，并承担相应的违约责任。</w:t>
            </w:r>
          </w:p>
          <w:p w14:paraId="37290419">
            <w:pPr>
              <w:spacing w:line="360" w:lineRule="auto"/>
              <w:ind w:firstLine="420" w:firstLineChars="200"/>
              <w:textAlignment w:val="top"/>
              <w:rPr>
                <w:rFonts w:ascii="宋体" w:hAnsi="宋体"/>
                <w:color w:val="auto"/>
                <w:szCs w:val="21"/>
              </w:rPr>
            </w:pPr>
            <w:r>
              <w:rPr>
                <w:rFonts w:hint="eastAsia" w:ascii="宋体" w:hAnsi="宋体"/>
                <w:color w:val="auto"/>
                <w:szCs w:val="21"/>
              </w:rPr>
              <w:t>4.中标人应在南宁市或项目所在地或经采购人同意的地点召开项目评审会议。</w:t>
            </w:r>
          </w:p>
          <w:p w14:paraId="5A161E9E">
            <w:pPr>
              <w:spacing w:line="360" w:lineRule="auto"/>
              <w:ind w:firstLine="420" w:firstLineChars="200"/>
              <w:textAlignment w:val="top"/>
              <w:rPr>
                <w:rFonts w:ascii="宋体" w:hAnsi="宋体"/>
                <w:color w:val="auto"/>
                <w:szCs w:val="21"/>
              </w:rPr>
            </w:pPr>
            <w:r>
              <w:rPr>
                <w:rFonts w:hint="eastAsia" w:ascii="宋体" w:hAnsi="宋体"/>
                <w:color w:val="auto"/>
                <w:szCs w:val="21"/>
              </w:rPr>
              <w:t>5.中标人与广西</w:t>
            </w:r>
            <w:r>
              <w:rPr>
                <w:rFonts w:ascii="宋体" w:hAnsi="宋体" w:cs="宋体"/>
                <w:color w:val="auto"/>
                <w:szCs w:val="21"/>
              </w:rPr>
              <w:t>壮族自治区</w:t>
            </w:r>
            <w:r>
              <w:rPr>
                <w:rFonts w:hint="eastAsia" w:ascii="宋体" w:hAnsi="宋体"/>
                <w:color w:val="auto"/>
                <w:szCs w:val="21"/>
              </w:rPr>
              <w:t>水利技术中心签订单项工程咨询合同后，应在合同约定时限内提交合格的项目技术审查评估报告及项目编制单位修改完善的项目设计文件（专题报告）等成果。</w:t>
            </w:r>
          </w:p>
          <w:p w14:paraId="0784B785">
            <w:pPr>
              <w:spacing w:line="360" w:lineRule="auto"/>
              <w:ind w:firstLine="420" w:firstLineChars="200"/>
              <w:textAlignment w:val="top"/>
              <w:rPr>
                <w:rFonts w:ascii="宋体" w:hAnsi="宋体"/>
                <w:color w:val="auto"/>
                <w:szCs w:val="21"/>
              </w:rPr>
            </w:pPr>
            <w:r>
              <w:rPr>
                <w:rFonts w:hint="eastAsia" w:ascii="宋体" w:hAnsi="宋体"/>
                <w:color w:val="auto"/>
                <w:szCs w:val="21"/>
              </w:rPr>
              <w:t>6.中标人</w:t>
            </w:r>
            <w:r>
              <w:rPr>
                <w:rFonts w:hint="eastAsia" w:ascii="宋体" w:hAnsi="宋体"/>
                <w:color w:val="auto"/>
                <w:szCs w:val="21"/>
                <w:lang w:val="zh-CN"/>
              </w:rPr>
              <w:t>承担编制建设项目的规划报告书、项目建议书、可行性研究报告、初步设计以及专题设计（论证）文件的，应明确告知采购人，不能再参与同一建设项目的规划报告书、项目建议书、可行性研究报告、初步设计以及专题设计（论证）文件的评审评估业务</w:t>
            </w:r>
            <w:r>
              <w:rPr>
                <w:rFonts w:hint="eastAsia" w:ascii="宋体" w:hAnsi="宋体" w:cs="宋体"/>
                <w:color w:val="auto"/>
                <w:szCs w:val="21"/>
                <w:lang w:val="zh-CN"/>
              </w:rPr>
              <w:t>，由</w:t>
            </w:r>
            <w:r>
              <w:rPr>
                <w:rFonts w:hint="eastAsia" w:ascii="宋体" w:hAnsi="宋体"/>
                <w:color w:val="auto"/>
                <w:szCs w:val="21"/>
                <w:lang w:val="zh-CN"/>
              </w:rPr>
              <w:t>广西</w:t>
            </w:r>
            <w:r>
              <w:rPr>
                <w:rFonts w:ascii="宋体" w:hAnsi="宋体" w:cs="宋体"/>
                <w:color w:val="auto"/>
                <w:szCs w:val="21"/>
              </w:rPr>
              <w:t>壮族自治区</w:t>
            </w:r>
            <w:r>
              <w:rPr>
                <w:rFonts w:hint="eastAsia" w:ascii="宋体" w:hAnsi="宋体"/>
                <w:color w:val="auto"/>
                <w:szCs w:val="21"/>
                <w:lang w:val="zh-CN"/>
              </w:rPr>
              <w:t>水利技术中心</w:t>
            </w:r>
            <w:r>
              <w:rPr>
                <w:rFonts w:hint="eastAsia" w:ascii="宋体" w:hAnsi="宋体" w:cs="宋体"/>
                <w:color w:val="auto"/>
                <w:szCs w:val="21"/>
                <w:lang w:val="zh-CN"/>
              </w:rPr>
              <w:t>商议委托其他分标具有相应能力和水平的中标人提供评审服务</w:t>
            </w:r>
            <w:r>
              <w:rPr>
                <w:rFonts w:hint="eastAsia" w:ascii="宋体" w:hAnsi="宋体"/>
                <w:color w:val="auto"/>
                <w:szCs w:val="21"/>
                <w:lang w:val="zh-CN"/>
              </w:rPr>
              <w:t>。</w:t>
            </w:r>
            <w:r>
              <w:rPr>
                <w:rFonts w:hint="eastAsia" w:ascii="宋体" w:hAnsi="宋体"/>
                <w:color w:val="auto"/>
                <w:szCs w:val="21"/>
              </w:rPr>
              <w:t>最终采购金额以</w:t>
            </w:r>
            <w:r>
              <w:rPr>
                <w:rFonts w:hint="eastAsia" w:ascii="宋体" w:hAnsi="宋体" w:cs="宋体"/>
                <w:color w:val="auto"/>
                <w:szCs w:val="21"/>
                <w:lang w:val="zh-CN"/>
              </w:rPr>
              <w:t>中标人</w:t>
            </w:r>
            <w:r>
              <w:rPr>
                <w:rFonts w:hint="eastAsia" w:ascii="宋体" w:hAnsi="宋体"/>
                <w:color w:val="auto"/>
                <w:szCs w:val="21"/>
              </w:rPr>
              <w:t>实际开展技术审查评估的项目数量及咨询费结算额为准。</w:t>
            </w:r>
          </w:p>
          <w:p w14:paraId="67A05769">
            <w:pPr>
              <w:spacing w:line="360" w:lineRule="auto"/>
              <w:ind w:firstLine="420" w:firstLineChars="200"/>
              <w:textAlignment w:val="top"/>
              <w:rPr>
                <w:rFonts w:hint="eastAsia" w:ascii="宋体" w:hAnsi="宋体"/>
                <w:bCs/>
                <w:color w:val="auto"/>
                <w:szCs w:val="21"/>
              </w:rPr>
            </w:pPr>
            <w:r>
              <w:rPr>
                <w:rFonts w:hint="eastAsia" w:ascii="宋体" w:hAnsi="宋体"/>
                <w:color w:val="auto"/>
                <w:szCs w:val="21"/>
              </w:rPr>
              <w:t>7.</w:t>
            </w:r>
            <w:r>
              <w:rPr>
                <w:rFonts w:hint="eastAsia" w:ascii="宋体" w:hAnsi="宋体"/>
                <w:bCs/>
                <w:color w:val="auto"/>
                <w:szCs w:val="21"/>
              </w:rPr>
              <w:t>遇发生疫情、战争、洪水、地震等不可抗力事故以及双方所同意的其他意外事故，</w:t>
            </w:r>
            <w:r>
              <w:rPr>
                <w:rFonts w:hint="eastAsia" w:ascii="宋体" w:hAnsi="宋体"/>
                <w:color w:val="auto"/>
                <w:szCs w:val="21"/>
              </w:rPr>
              <w:t>中标人</w:t>
            </w:r>
            <w:r>
              <w:rPr>
                <w:rFonts w:hint="eastAsia" w:ascii="宋体" w:hAnsi="宋体"/>
                <w:bCs/>
                <w:color w:val="auto"/>
                <w:szCs w:val="21"/>
              </w:rPr>
              <w:t>无法按约定时限到达南宁市或项目所在地或经采购人同意的地点召开项目评审会议开展评估评审工作的，由</w:t>
            </w:r>
            <w:r>
              <w:rPr>
                <w:rFonts w:hint="eastAsia" w:ascii="宋体" w:hAnsi="宋体"/>
                <w:color w:val="auto"/>
                <w:szCs w:val="21"/>
                <w:lang w:val="zh-CN"/>
              </w:rPr>
              <w:t>广西</w:t>
            </w:r>
            <w:r>
              <w:rPr>
                <w:rFonts w:ascii="宋体" w:hAnsi="宋体" w:cs="宋体"/>
                <w:color w:val="auto"/>
                <w:szCs w:val="21"/>
              </w:rPr>
              <w:t>壮族自治区</w:t>
            </w:r>
            <w:r>
              <w:rPr>
                <w:rFonts w:hint="eastAsia" w:ascii="宋体" w:hAnsi="宋体"/>
                <w:color w:val="auto"/>
                <w:szCs w:val="21"/>
                <w:lang w:val="zh-CN"/>
              </w:rPr>
              <w:t>水利技术中心</w:t>
            </w:r>
            <w:r>
              <w:rPr>
                <w:rFonts w:hint="eastAsia" w:ascii="宋体" w:hAnsi="宋体"/>
                <w:bCs/>
                <w:color w:val="auto"/>
                <w:szCs w:val="21"/>
              </w:rPr>
              <w:t>商议委托其他分标具有相应能力和水平的中标人提供评审服务。</w:t>
            </w:r>
          </w:p>
          <w:p w14:paraId="50CB82F2">
            <w:pPr>
              <w:spacing w:line="360" w:lineRule="auto"/>
              <w:ind w:firstLine="420" w:firstLineChars="200"/>
              <w:textAlignment w:val="top"/>
              <w:rPr>
                <w:color w:val="auto"/>
              </w:rPr>
            </w:pPr>
            <w:r>
              <w:rPr>
                <w:rFonts w:hint="eastAsia" w:ascii="宋体" w:hAnsi="宋体"/>
                <w:color w:val="auto"/>
              </w:rPr>
              <w:t>8.中标人有义务随时向采购人解释所有成果内容。</w:t>
            </w:r>
          </w:p>
        </w:tc>
      </w:tr>
      <w:tr w14:paraId="0EC3D073">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3756449E">
            <w:pPr>
              <w:spacing w:line="360" w:lineRule="auto"/>
              <w:jc w:val="center"/>
              <w:rPr>
                <w:rFonts w:ascii="宋体" w:hAnsi="宋体"/>
                <w:color w:val="auto"/>
                <w:szCs w:val="21"/>
                <w:lang w:bidi="ar"/>
              </w:rPr>
            </w:pPr>
            <w:r>
              <w:rPr>
                <w:rFonts w:hint="eastAsia" w:ascii="宋体" w:hAnsi="宋体"/>
                <w:color w:val="auto"/>
                <w:szCs w:val="21"/>
                <w:lang w:bidi="ar"/>
              </w:rPr>
              <w:t>咨询服务费支付时间及方式</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EB8D7D5">
            <w:pPr>
              <w:spacing w:line="360" w:lineRule="auto"/>
              <w:ind w:firstLine="399" w:firstLineChars="190"/>
              <w:jc w:val="left"/>
              <w:rPr>
                <w:rFonts w:ascii="宋体" w:hAnsi="宋体"/>
                <w:color w:val="auto"/>
                <w:szCs w:val="21"/>
              </w:rPr>
            </w:pPr>
            <w:r>
              <w:rPr>
                <w:rFonts w:hint="eastAsia" w:ascii="宋体" w:hAnsi="宋体"/>
                <w:color w:val="auto"/>
                <w:szCs w:val="21"/>
                <w:lang w:bidi="ar"/>
              </w:rPr>
              <w:t>技术审查评估咨询服务费无预付款，按</w:t>
            </w:r>
            <w:r>
              <w:rPr>
                <w:rFonts w:hint="eastAsia" w:ascii="宋体" w:hAnsi="宋体"/>
                <w:color w:val="auto"/>
                <w:szCs w:val="21"/>
                <w:lang w:eastAsia="zh-CN" w:bidi="ar"/>
              </w:rPr>
              <w:t>单个</w:t>
            </w:r>
            <w:r>
              <w:rPr>
                <w:rFonts w:hint="eastAsia" w:ascii="宋体" w:hAnsi="宋体"/>
                <w:color w:val="auto"/>
                <w:szCs w:val="21"/>
                <w:lang w:bidi="ar"/>
              </w:rPr>
              <w:t>项目技术评审合同分期结算。</w:t>
            </w:r>
            <w:r>
              <w:rPr>
                <w:rFonts w:hint="eastAsia" w:ascii="宋体" w:hAnsi="宋体"/>
                <w:color w:val="auto"/>
                <w:szCs w:val="21"/>
                <w:lang w:val="en-US" w:eastAsia="zh-CN" w:bidi="ar"/>
              </w:rPr>
              <w:t>即</w:t>
            </w:r>
            <w:r>
              <w:rPr>
                <w:rFonts w:hint="eastAsia" w:ascii="宋体" w:hAnsi="宋体"/>
                <w:color w:val="auto"/>
                <w:szCs w:val="21"/>
                <w:lang w:bidi="ar"/>
              </w:rPr>
              <w:t>技术审查评估服务机构在完成</w:t>
            </w:r>
            <w:r>
              <w:rPr>
                <w:rFonts w:hint="eastAsia" w:ascii="宋体" w:hAnsi="宋体"/>
                <w:color w:val="auto"/>
                <w:szCs w:val="21"/>
                <w:lang w:eastAsia="zh-CN" w:bidi="ar"/>
              </w:rPr>
              <w:t>单个</w:t>
            </w:r>
            <w:r>
              <w:rPr>
                <w:rFonts w:hint="eastAsia" w:ascii="宋体" w:hAnsi="宋体"/>
                <w:color w:val="auto"/>
                <w:szCs w:val="21"/>
                <w:lang w:bidi="ar"/>
              </w:rPr>
              <w:t>项目技术审查评估工作，并经广西壮族自治区水利技术中心复核确认后，中标人填写支付申请函并加盖单位公章后送广西壮族自治区水利技术中心审核，广西壮族自治区水利技术中心确认无</w:t>
            </w:r>
            <w:r>
              <w:rPr>
                <w:rFonts w:ascii="Nimbus Roman No9 L" w:hAnsi="Nimbus Roman No9 L" w:cs="Nimbus Roman No9 L"/>
                <w:color w:val="auto"/>
                <w:szCs w:val="21"/>
                <w:lang w:bidi="ar"/>
              </w:rPr>
              <w:t>误并</w:t>
            </w:r>
            <w:r>
              <w:rPr>
                <w:rFonts w:ascii="Nimbus Roman No9 L" w:hAnsi="Nimbus Roman No9 L" w:cs="Nimbus Roman No9 L"/>
                <w:color w:val="auto"/>
                <w:szCs w:val="21"/>
              </w:rPr>
              <w:t>收到合格发票后10个工作日内</w:t>
            </w:r>
            <w:r>
              <w:rPr>
                <w:rFonts w:hint="eastAsia" w:ascii="宋体" w:hAnsi="宋体"/>
                <w:color w:val="auto"/>
                <w:szCs w:val="21"/>
                <w:lang w:bidi="ar"/>
              </w:rPr>
              <w:t>通过转账支付方式支付咨询服务费。</w:t>
            </w:r>
          </w:p>
        </w:tc>
      </w:tr>
      <w:tr w14:paraId="39512636">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67566F90">
            <w:pPr>
              <w:spacing w:line="360" w:lineRule="auto"/>
              <w:jc w:val="center"/>
              <w:rPr>
                <w:rFonts w:ascii="宋体" w:hAnsi="宋体"/>
                <w:color w:val="auto"/>
                <w:szCs w:val="21"/>
                <w:lang w:bidi="ar"/>
              </w:rPr>
            </w:pPr>
            <w:r>
              <w:rPr>
                <w:rFonts w:hint="eastAsia" w:ascii="宋体" w:hAnsi="宋体"/>
                <w:color w:val="auto"/>
                <w:szCs w:val="21"/>
                <w:lang w:bidi="ar"/>
              </w:rPr>
              <w:t>对技术审查评估服务机构的主要考核及管理办法</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DA90F15">
            <w:pPr>
              <w:spacing w:line="360" w:lineRule="auto"/>
              <w:ind w:firstLine="420" w:firstLineChars="200"/>
              <w:textAlignment w:val="top"/>
              <w:rPr>
                <w:rFonts w:ascii="宋体" w:hAnsi="宋体"/>
                <w:color w:val="auto"/>
                <w:szCs w:val="21"/>
                <w:lang w:bidi="ar"/>
              </w:rPr>
            </w:pPr>
            <w:r>
              <w:rPr>
                <w:rFonts w:hint="eastAsia" w:ascii="宋体" w:hAnsi="宋体"/>
                <w:color w:val="auto"/>
                <w:szCs w:val="21"/>
                <w:lang w:bidi="ar"/>
              </w:rPr>
              <w:t>1.项目委托人对技术审查评估服务机构递交的技术审查评估成果（报告）进行审核，成果达不到要求的，项目委托人有权督促技术审查评估服务机构修改完善，且项目委托人不另支付费用；出现重大失误的，技术审查评估服务机构必须承担由此造成的全部经济和法律责任，项目委托人不支付该项目的技术审查评估咨询服务费用。如重大失误累计出现三次以上（含三次），采购人将其列入广西壮族自治区水利厅技术审查评估服务机构黑名单，并取消其服务资格。</w:t>
            </w:r>
          </w:p>
          <w:p w14:paraId="5ACBD3B8">
            <w:pPr>
              <w:spacing w:line="360" w:lineRule="auto"/>
              <w:ind w:firstLine="420" w:firstLineChars="200"/>
              <w:textAlignment w:val="top"/>
              <w:rPr>
                <w:rFonts w:ascii="宋体" w:hAnsi="宋体"/>
                <w:color w:val="auto"/>
                <w:szCs w:val="21"/>
                <w:lang w:bidi="ar"/>
              </w:rPr>
            </w:pPr>
            <w:r>
              <w:rPr>
                <w:rFonts w:hint="eastAsia" w:ascii="宋体" w:hAnsi="宋体"/>
                <w:color w:val="auto"/>
                <w:szCs w:val="21"/>
                <w:lang w:bidi="ar"/>
              </w:rPr>
              <w:t>2.技术审查评估服务机构应严格遵守国家的法律法规、政策及国家和相关行业的规程规范、技术标准。</w:t>
            </w:r>
          </w:p>
        </w:tc>
      </w:tr>
      <w:tr w14:paraId="52968231">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F7886E9">
            <w:pPr>
              <w:spacing w:line="360" w:lineRule="auto"/>
              <w:jc w:val="center"/>
              <w:rPr>
                <w:rFonts w:ascii="宋体" w:hAnsi="宋体"/>
                <w:color w:val="auto"/>
                <w:szCs w:val="21"/>
                <w:lang w:bidi="ar"/>
              </w:rPr>
            </w:pPr>
            <w:r>
              <w:rPr>
                <w:rFonts w:hint="eastAsia" w:ascii="宋体" w:hAnsi="宋体"/>
                <w:color w:val="auto"/>
                <w:szCs w:val="21"/>
                <w:lang w:bidi="ar"/>
              </w:rPr>
              <w:t>验收条件及标准</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37CFAB63">
            <w:pPr>
              <w:spacing w:line="360" w:lineRule="auto"/>
              <w:ind w:firstLine="420" w:firstLineChars="200"/>
              <w:textAlignment w:val="top"/>
              <w:rPr>
                <w:rFonts w:ascii="宋体" w:hAnsi="宋体"/>
                <w:color w:val="auto"/>
                <w:szCs w:val="21"/>
                <w:lang w:bidi="ar"/>
              </w:rPr>
            </w:pPr>
            <w:r>
              <w:rPr>
                <w:rFonts w:hint="eastAsia" w:ascii="宋体" w:hAnsi="宋体"/>
                <w:color w:val="auto"/>
                <w:szCs w:val="21"/>
                <w:lang w:bidi="ar"/>
              </w:rPr>
              <w:t>1.验收标准： 符合双方签订的合同、行业、国家最新验收规范要求。</w:t>
            </w:r>
          </w:p>
          <w:p w14:paraId="29C40E6F">
            <w:pPr>
              <w:spacing w:line="360" w:lineRule="auto"/>
              <w:ind w:firstLine="420" w:firstLineChars="200"/>
              <w:textAlignment w:val="top"/>
              <w:rPr>
                <w:rFonts w:ascii="宋体" w:hAnsi="宋体"/>
                <w:color w:val="auto"/>
                <w:szCs w:val="21"/>
                <w:lang w:bidi="ar"/>
              </w:rPr>
            </w:pPr>
            <w:r>
              <w:rPr>
                <w:rFonts w:hint="eastAsia" w:ascii="宋体" w:hAnsi="宋体"/>
                <w:color w:val="auto"/>
                <w:szCs w:val="21"/>
                <w:lang w:bidi="ar"/>
              </w:rPr>
              <w:t>2.验收方法及方案：按双方签订的合同、行业、国家最新验收规范进行验收。</w:t>
            </w:r>
          </w:p>
        </w:tc>
      </w:tr>
      <w:tr w14:paraId="7E8D2BAB">
        <w:tblPrEx>
          <w:tblCellMar>
            <w:top w:w="0" w:type="dxa"/>
            <w:left w:w="0" w:type="dxa"/>
            <w:bottom w:w="0" w:type="dxa"/>
            <w:right w:w="0" w:type="dxa"/>
          </w:tblCellMar>
        </w:tblPrEx>
        <w:trPr>
          <w:trHeight w:val="369" w:hRule="atLeast"/>
          <w:jc w:val="center"/>
        </w:trPr>
        <w:tc>
          <w:tcPr>
            <w:tcW w:w="9401" w:type="dxa"/>
            <w:gridSpan w:val="5"/>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2EA3B51F">
            <w:pPr>
              <w:spacing w:line="360" w:lineRule="auto"/>
              <w:textAlignment w:val="top"/>
              <w:rPr>
                <w:rFonts w:ascii="宋体" w:hAnsi="宋体"/>
                <w:b/>
                <w:bCs/>
                <w:color w:val="auto"/>
                <w:szCs w:val="21"/>
                <w:lang w:bidi="ar"/>
              </w:rPr>
            </w:pPr>
            <w:r>
              <w:rPr>
                <w:rFonts w:hint="eastAsia" w:ascii="宋体" w:hAnsi="宋体"/>
                <w:b/>
                <w:bCs/>
                <w:color w:val="auto"/>
                <w:szCs w:val="21"/>
                <w:lang w:bidi="ar"/>
              </w:rPr>
              <w:t>三、采购人对项目的特殊要求及说明</w:t>
            </w:r>
          </w:p>
        </w:tc>
      </w:tr>
      <w:tr w14:paraId="12D5089B">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33BAB1F">
            <w:pPr>
              <w:spacing w:line="360" w:lineRule="auto"/>
              <w:jc w:val="center"/>
              <w:rPr>
                <w:rFonts w:ascii="宋体" w:hAnsi="宋体"/>
                <w:color w:val="auto"/>
                <w:szCs w:val="21"/>
                <w:lang w:bidi="ar"/>
              </w:rPr>
            </w:pPr>
            <w:r>
              <w:rPr>
                <w:rFonts w:hint="eastAsia" w:ascii="宋体" w:hAnsi="宋体"/>
                <w:color w:val="auto"/>
                <w:szCs w:val="21"/>
                <w:lang w:bidi="ar"/>
              </w:rPr>
              <w:t>采购人对项目的特殊要求及说明</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1B1046BC">
            <w:pPr>
              <w:spacing w:line="360" w:lineRule="auto"/>
              <w:ind w:firstLine="420" w:firstLineChars="200"/>
              <w:textAlignment w:val="top"/>
              <w:rPr>
                <w:rFonts w:ascii="宋体" w:hAnsi="宋体"/>
                <w:color w:val="auto"/>
                <w:szCs w:val="21"/>
                <w:lang w:bidi="ar"/>
              </w:rPr>
            </w:pPr>
            <w:r>
              <w:rPr>
                <w:rFonts w:hint="eastAsia" w:ascii="宋体" w:hAnsi="宋体"/>
                <w:color w:val="auto"/>
                <w:szCs w:val="21"/>
                <w:lang w:bidi="ar"/>
              </w:rPr>
              <w:t>投标人可根据自身情况在投标文件中提供服务方案及承诺，内容不限于项目技术审查评估工作思路、质量管理方案等。</w:t>
            </w:r>
          </w:p>
        </w:tc>
      </w:tr>
      <w:tr w14:paraId="39DFCFE4">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7E1E53F6">
            <w:pPr>
              <w:spacing w:line="360" w:lineRule="auto"/>
              <w:jc w:val="center"/>
              <w:rPr>
                <w:rFonts w:hint="eastAsia" w:ascii="宋体" w:hAnsi="宋体" w:eastAsia="宋体"/>
                <w:color w:val="auto"/>
                <w:szCs w:val="21"/>
                <w:lang w:eastAsia="zh-CN" w:bidi="ar"/>
              </w:rPr>
            </w:pPr>
            <w:r>
              <w:rPr>
                <w:rFonts w:hint="eastAsia" w:ascii="宋体" w:hAnsi="宋体"/>
                <w:color w:val="auto"/>
                <w:szCs w:val="21"/>
                <w:lang w:eastAsia="zh-CN" w:bidi="ar"/>
              </w:rPr>
              <w:t>四</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439F22B7">
            <w:pPr>
              <w:spacing w:line="360" w:lineRule="auto"/>
              <w:ind w:firstLine="420" w:firstLineChars="200"/>
              <w:textAlignment w:val="top"/>
              <w:rPr>
                <w:rFonts w:hint="eastAsia" w:ascii="宋体" w:hAnsi="宋体"/>
                <w:color w:val="auto"/>
                <w:szCs w:val="21"/>
                <w:lang w:bidi="ar"/>
              </w:rPr>
            </w:pPr>
            <w:r>
              <w:rPr>
                <w:rFonts w:hint="eastAsia" w:ascii="宋体" w:hAnsi="宋体"/>
                <w:color w:val="auto"/>
                <w:szCs w:val="21"/>
                <w:lang w:bidi="ar"/>
              </w:rPr>
              <w:t>与实现项目目标相关的其他要求</w:t>
            </w:r>
          </w:p>
        </w:tc>
      </w:tr>
      <w:tr w14:paraId="3FDF6D73">
        <w:tblPrEx>
          <w:tblCellMar>
            <w:top w:w="0" w:type="dxa"/>
            <w:left w:w="0" w:type="dxa"/>
            <w:bottom w:w="0" w:type="dxa"/>
            <w:right w:w="0" w:type="dxa"/>
          </w:tblCellMar>
        </w:tblPrEx>
        <w:trPr>
          <w:trHeight w:val="369" w:hRule="atLeast"/>
          <w:jc w:val="center"/>
        </w:trPr>
        <w:tc>
          <w:tcPr>
            <w:tcW w:w="1776" w:type="dxa"/>
            <w:gridSpan w:val="2"/>
            <w:tcBorders>
              <w:top w:val="single" w:color="000000" w:sz="4" w:space="0"/>
              <w:left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0C2AA971">
            <w:pPr>
              <w:spacing w:line="360" w:lineRule="auto"/>
              <w:jc w:val="center"/>
              <w:rPr>
                <w:rFonts w:hint="eastAsia" w:ascii="宋体" w:hAnsi="宋体"/>
                <w:color w:val="auto"/>
                <w:szCs w:val="21"/>
                <w:lang w:eastAsia="zh-CN" w:bidi="ar"/>
              </w:rPr>
            </w:pPr>
            <w:r>
              <w:rPr>
                <w:rFonts w:hint="eastAsia" w:ascii="宋体" w:hAnsi="宋体"/>
                <w:color w:val="auto"/>
                <w:szCs w:val="21"/>
                <w:lang w:eastAsia="zh-CN" w:bidi="ar"/>
              </w:rPr>
              <w:t>人员要求</w:t>
            </w:r>
          </w:p>
        </w:tc>
        <w:tc>
          <w:tcPr>
            <w:tcW w:w="7625" w:type="dxa"/>
            <w:gridSpan w:val="3"/>
            <w:tcBorders>
              <w:top w:val="single" w:color="000000" w:sz="4" w:space="0"/>
              <w:bottom w:val="single" w:color="000000" w:sz="4" w:space="0"/>
              <w:right w:val="single" w:color="000000" w:sz="4" w:space="0"/>
            </w:tcBorders>
            <w:noWrap w:val="0"/>
            <w:tcMar>
              <w:top w:w="0" w:type="dxa"/>
              <w:left w:w="51" w:type="dxa"/>
              <w:bottom w:w="0" w:type="dxa"/>
              <w:right w:w="51" w:type="dxa"/>
            </w:tcMar>
            <w:vAlign w:val="center"/>
          </w:tcPr>
          <w:p w14:paraId="094A3D01">
            <w:pPr>
              <w:spacing w:line="360" w:lineRule="auto"/>
              <w:ind w:firstLine="420" w:firstLineChars="200"/>
              <w:textAlignment w:val="top"/>
              <w:rPr>
                <w:rFonts w:hint="eastAsia" w:ascii="宋体" w:hAnsi="宋体" w:eastAsia="宋体"/>
                <w:color w:val="auto"/>
                <w:szCs w:val="21"/>
                <w:lang w:eastAsia="zh-CN" w:bidi="ar"/>
              </w:rPr>
            </w:pPr>
            <w:r>
              <w:rPr>
                <w:rFonts w:hint="eastAsia" w:cs="宋体"/>
                <w:color w:val="auto"/>
                <w:szCs w:val="21"/>
                <w:lang w:eastAsia="zh-CN"/>
              </w:rPr>
              <w:t>需配备相关</w:t>
            </w:r>
            <w:r>
              <w:rPr>
                <w:rFonts w:hint="eastAsia" w:cs="宋体"/>
                <w:color w:val="auto"/>
                <w:szCs w:val="21"/>
              </w:rPr>
              <w:t>专业人员</w:t>
            </w:r>
            <w:r>
              <w:rPr>
                <w:rFonts w:hint="eastAsia" w:ascii="宋体" w:hAnsi="宋体"/>
                <w:color w:val="auto"/>
                <w:szCs w:val="21"/>
                <w:lang w:eastAsia="zh-CN" w:bidi="ar"/>
              </w:rPr>
              <w:t>。</w:t>
            </w:r>
          </w:p>
        </w:tc>
      </w:tr>
    </w:tbl>
    <w:p w14:paraId="52CBFCFC">
      <w:pPr>
        <w:widowControl/>
        <w:jc w:val="left"/>
        <w:rPr>
          <w:rFonts w:ascii="宋体" w:hAnsi="宋体" w:cs="宋体"/>
          <w:b/>
          <w:szCs w:val="20"/>
        </w:rPr>
      </w:pPr>
      <w:r>
        <w:rPr>
          <w:rFonts w:hAnsi="宋体" w:cs="宋体"/>
        </w:rPr>
        <w:br w:type="page"/>
      </w:r>
    </w:p>
    <w:p w14:paraId="6ECE69CC">
      <w:pPr>
        <w:pStyle w:val="7"/>
        <w:widowControl w:val="0"/>
        <w:spacing w:before="0" w:beforeAutospacing="0" w:after="0" w:afterAutospacing="0" w:line="360" w:lineRule="auto"/>
        <w:rPr>
          <w:rFonts w:cs="宋体"/>
          <w:b/>
          <w:sz w:val="21"/>
          <w:szCs w:val="21"/>
        </w:rPr>
      </w:pPr>
      <w:r>
        <w:rPr>
          <w:rFonts w:hint="eastAsia" w:cs="宋体"/>
          <w:b/>
          <w:sz w:val="21"/>
          <w:szCs w:val="21"/>
          <w:lang w:bidi="ar"/>
        </w:rPr>
        <w:t>附件一：《水利厅政府采购技术审查评估服务机构审查评估咨询服务费收费参考标准》</w:t>
      </w:r>
    </w:p>
    <w:p w14:paraId="0843D27A">
      <w:pPr>
        <w:snapToGrid w:val="0"/>
        <w:spacing w:before="240" w:beforeLines="100" w:after="120" w:afterLines="50" w:line="360" w:lineRule="auto"/>
        <w:ind w:firstLine="482" w:firstLineChars="200"/>
        <w:jc w:val="center"/>
        <w:textAlignment w:val="top"/>
        <w:rPr>
          <w:rFonts w:ascii="宋体" w:hAnsi="宋体"/>
          <w:b/>
          <w:bCs/>
          <w:sz w:val="24"/>
        </w:rPr>
      </w:pPr>
      <w:r>
        <w:rPr>
          <w:rFonts w:hint="eastAsia" w:cs="宋体"/>
          <w:b/>
          <w:sz w:val="24"/>
          <w:lang w:bidi="ar"/>
        </w:rPr>
        <w:t>水利厅政府采购技术审查评估服务机构审查评估咨询服务费收费参考标准</w:t>
      </w:r>
    </w:p>
    <w:p w14:paraId="01F1F3DA">
      <w:pPr>
        <w:snapToGrid w:val="0"/>
        <w:spacing w:line="360" w:lineRule="auto"/>
        <w:ind w:firstLine="422" w:firstLineChars="200"/>
        <w:textAlignment w:val="top"/>
        <w:rPr>
          <w:rFonts w:ascii="宋体" w:hAnsi="宋体"/>
          <w:b/>
          <w:bCs/>
          <w:szCs w:val="21"/>
        </w:rPr>
      </w:pPr>
      <w:r>
        <w:rPr>
          <w:rFonts w:hint="eastAsia" w:ascii="宋体" w:hAnsi="宋体"/>
          <w:b/>
          <w:bCs/>
          <w:szCs w:val="21"/>
        </w:rPr>
        <w:t>一、综合类工程项目</w:t>
      </w:r>
    </w:p>
    <w:p w14:paraId="66786488">
      <w:pPr>
        <w:snapToGrid w:val="0"/>
        <w:spacing w:line="360" w:lineRule="auto"/>
        <w:ind w:firstLine="422" w:firstLineChars="200"/>
        <w:textAlignment w:val="top"/>
        <w:rPr>
          <w:rFonts w:ascii="宋体" w:hAnsi="宋体"/>
          <w:b/>
          <w:bCs/>
          <w:szCs w:val="21"/>
        </w:rPr>
      </w:pPr>
      <w:r>
        <w:rPr>
          <w:rFonts w:hint="eastAsia" w:ascii="宋体" w:hAnsi="宋体"/>
          <w:b/>
          <w:bCs/>
          <w:szCs w:val="21"/>
        </w:rPr>
        <w:t>（一）项目建议书、可行性研究报告审查评估咨询服务费用</w:t>
      </w:r>
    </w:p>
    <w:p w14:paraId="41723178">
      <w:pPr>
        <w:snapToGrid w:val="0"/>
        <w:spacing w:line="360" w:lineRule="auto"/>
        <w:ind w:firstLine="420" w:firstLineChars="200"/>
        <w:textAlignment w:val="top"/>
        <w:rPr>
          <w:rFonts w:ascii="宋体" w:hAnsi="宋体"/>
          <w:szCs w:val="21"/>
        </w:rPr>
      </w:pPr>
      <w:r>
        <w:rPr>
          <w:rFonts w:hint="eastAsia" w:ascii="宋体" w:hAnsi="宋体"/>
          <w:szCs w:val="21"/>
        </w:rPr>
        <w:t>参照国家发展计划委员会《建设项目前期工作咨询收费暂行规定》（计价格〔1999〕1283号）及自治区物价局和发展计划委员会《转发国家计委关于印发建设项目前期工作咨询收费暂行规定的通知》（桂价经字〔2000〕88号）的标准。</w:t>
      </w:r>
    </w:p>
    <w:p w14:paraId="2A2EB311">
      <w:pPr>
        <w:snapToGrid w:val="0"/>
        <w:spacing w:line="360" w:lineRule="auto"/>
        <w:ind w:firstLine="420" w:firstLineChars="200"/>
        <w:textAlignment w:val="top"/>
        <w:rPr>
          <w:rFonts w:ascii="宋体" w:hAnsi="宋体"/>
          <w:szCs w:val="21"/>
        </w:rPr>
      </w:pPr>
      <w:r>
        <w:rPr>
          <w:rFonts w:hint="eastAsia" w:ascii="宋体" w:hAnsi="宋体"/>
          <w:szCs w:val="21"/>
        </w:rPr>
        <w:t>1. 中、小型以及一般大型水利水电项目按评估投资额分档计算项目技术审查评估咨询服务费用</w:t>
      </w:r>
    </w:p>
    <w:p w14:paraId="286A0837">
      <w:pPr>
        <w:snapToGrid w:val="0"/>
        <w:spacing w:line="360" w:lineRule="auto"/>
        <w:ind w:firstLine="420" w:firstLineChars="200"/>
        <w:textAlignment w:val="top"/>
        <w:rPr>
          <w:rFonts w:ascii="宋体" w:hAnsi="宋体"/>
          <w:szCs w:val="21"/>
        </w:rPr>
      </w:pPr>
      <w:r>
        <w:rPr>
          <w:rFonts w:hint="eastAsia" w:ascii="宋体" w:hAnsi="宋体"/>
          <w:szCs w:val="21"/>
        </w:rPr>
        <w:t>项目技术审查评估咨询服务费=咨询费基本额×行业调整系数×工程复杂程度调整系数×（1-投标下浮系数）。</w:t>
      </w:r>
    </w:p>
    <w:p w14:paraId="5FAFC9EC">
      <w:pPr>
        <w:snapToGrid w:val="0"/>
        <w:spacing w:line="360" w:lineRule="auto"/>
        <w:ind w:firstLine="420" w:firstLineChars="200"/>
        <w:textAlignment w:val="top"/>
        <w:rPr>
          <w:rFonts w:ascii="宋体" w:hAnsi="宋体"/>
          <w:szCs w:val="21"/>
        </w:rPr>
      </w:pPr>
      <w:r>
        <w:rPr>
          <w:rFonts w:hint="eastAsia" w:ascii="宋体" w:hAnsi="宋体"/>
          <w:szCs w:val="21"/>
        </w:rPr>
        <w:t>（1）咨询费基本额参考表                                           单位：万元</w:t>
      </w:r>
    </w:p>
    <w:tbl>
      <w:tblPr>
        <w:tblStyle w:val="9"/>
        <w:tblW w:w="9172" w:type="dxa"/>
        <w:jc w:val="center"/>
        <w:tblLayout w:type="fixed"/>
        <w:tblCellMar>
          <w:top w:w="0" w:type="dxa"/>
          <w:left w:w="108" w:type="dxa"/>
          <w:bottom w:w="0" w:type="dxa"/>
          <w:right w:w="108" w:type="dxa"/>
        </w:tblCellMar>
      </w:tblPr>
      <w:tblGrid>
        <w:gridCol w:w="2211"/>
        <w:gridCol w:w="1740"/>
        <w:gridCol w:w="1740"/>
        <w:gridCol w:w="1740"/>
        <w:gridCol w:w="1741"/>
      </w:tblGrid>
      <w:tr w14:paraId="394255C7">
        <w:tblPrEx>
          <w:tblCellMar>
            <w:top w:w="0" w:type="dxa"/>
            <w:left w:w="108" w:type="dxa"/>
            <w:bottom w:w="0" w:type="dxa"/>
            <w:right w:w="108" w:type="dxa"/>
          </w:tblCellMar>
        </w:tblPrEx>
        <w:trPr>
          <w:jc w:val="center"/>
        </w:trPr>
        <w:tc>
          <w:tcPr>
            <w:tcW w:w="2211" w:type="dxa"/>
            <w:tcBorders>
              <w:top w:val="single" w:color="auto" w:sz="8" w:space="0"/>
              <w:left w:val="single" w:color="auto" w:sz="8" w:space="0"/>
              <w:bottom w:val="single" w:color="auto" w:sz="4" w:space="0"/>
              <w:right w:val="single" w:color="auto" w:sz="4" w:space="0"/>
              <w:tl2br w:val="single" w:color="auto" w:sz="4" w:space="0"/>
            </w:tcBorders>
            <w:noWrap w:val="0"/>
            <w:vAlign w:val="top"/>
          </w:tcPr>
          <w:p w14:paraId="4D330266">
            <w:pPr>
              <w:spacing w:line="360" w:lineRule="auto"/>
              <w:ind w:firstLine="840" w:firstLineChars="400"/>
              <w:rPr>
                <w:rFonts w:ascii="宋体" w:hAnsi="宋体"/>
                <w:szCs w:val="21"/>
              </w:rPr>
            </w:pPr>
            <w:r>
              <w:rPr>
                <w:rFonts w:hint="eastAsia" w:ascii="宋体" w:hAnsi="宋体"/>
                <w:szCs w:val="21"/>
              </w:rPr>
              <w:t>评估投资额</w:t>
            </w:r>
          </w:p>
          <w:p w14:paraId="23E49721">
            <w:pPr>
              <w:spacing w:line="360" w:lineRule="auto"/>
              <w:rPr>
                <w:rFonts w:ascii="宋体" w:hAnsi="宋体"/>
                <w:szCs w:val="21"/>
              </w:rPr>
            </w:pPr>
            <w:r>
              <w:rPr>
                <w:rFonts w:hint="eastAsia" w:ascii="宋体" w:hAnsi="宋体"/>
                <w:szCs w:val="21"/>
              </w:rPr>
              <w:t>评估项目</w:t>
            </w:r>
          </w:p>
        </w:tc>
        <w:tc>
          <w:tcPr>
            <w:tcW w:w="1740" w:type="dxa"/>
            <w:tcBorders>
              <w:top w:val="single" w:color="auto" w:sz="8" w:space="0"/>
              <w:left w:val="single" w:color="auto" w:sz="4" w:space="0"/>
              <w:bottom w:val="single" w:color="auto" w:sz="4" w:space="0"/>
              <w:right w:val="single" w:color="auto" w:sz="4" w:space="0"/>
            </w:tcBorders>
            <w:noWrap w:val="0"/>
            <w:vAlign w:val="center"/>
          </w:tcPr>
          <w:p w14:paraId="0E819D4D">
            <w:pPr>
              <w:spacing w:line="360" w:lineRule="auto"/>
              <w:jc w:val="center"/>
              <w:rPr>
                <w:rFonts w:ascii="宋体" w:hAnsi="宋体"/>
                <w:szCs w:val="21"/>
              </w:rPr>
            </w:pPr>
            <w:r>
              <w:rPr>
                <w:rFonts w:hint="eastAsia" w:ascii="宋体" w:hAnsi="宋体"/>
                <w:szCs w:val="21"/>
              </w:rPr>
              <w:t>500万元以下</w:t>
            </w:r>
          </w:p>
        </w:tc>
        <w:tc>
          <w:tcPr>
            <w:tcW w:w="1740" w:type="dxa"/>
            <w:tcBorders>
              <w:top w:val="single" w:color="auto" w:sz="8" w:space="0"/>
              <w:left w:val="single" w:color="auto" w:sz="4" w:space="0"/>
              <w:bottom w:val="single" w:color="auto" w:sz="4" w:space="0"/>
              <w:right w:val="single" w:color="auto" w:sz="4" w:space="0"/>
            </w:tcBorders>
            <w:noWrap w:val="0"/>
            <w:vAlign w:val="center"/>
          </w:tcPr>
          <w:p w14:paraId="07FB9F0F">
            <w:pPr>
              <w:spacing w:line="360" w:lineRule="auto"/>
              <w:jc w:val="center"/>
              <w:rPr>
                <w:rFonts w:ascii="宋体" w:hAnsi="宋体"/>
                <w:szCs w:val="21"/>
              </w:rPr>
            </w:pPr>
            <w:r>
              <w:rPr>
                <w:rFonts w:hint="eastAsia" w:ascii="宋体" w:hAnsi="宋体"/>
                <w:szCs w:val="21"/>
              </w:rPr>
              <w:t>500万元—1000万元</w:t>
            </w:r>
          </w:p>
        </w:tc>
        <w:tc>
          <w:tcPr>
            <w:tcW w:w="1740" w:type="dxa"/>
            <w:tcBorders>
              <w:top w:val="single" w:color="auto" w:sz="8" w:space="0"/>
              <w:left w:val="single" w:color="auto" w:sz="4" w:space="0"/>
              <w:bottom w:val="single" w:color="auto" w:sz="4" w:space="0"/>
              <w:right w:val="single" w:color="auto" w:sz="4" w:space="0"/>
            </w:tcBorders>
            <w:noWrap w:val="0"/>
            <w:vAlign w:val="center"/>
          </w:tcPr>
          <w:p w14:paraId="0F00A422">
            <w:pPr>
              <w:spacing w:line="360" w:lineRule="auto"/>
              <w:jc w:val="center"/>
              <w:rPr>
                <w:rFonts w:ascii="宋体" w:hAnsi="宋体"/>
                <w:szCs w:val="21"/>
              </w:rPr>
            </w:pPr>
            <w:r>
              <w:rPr>
                <w:rFonts w:hint="eastAsia" w:ascii="宋体" w:hAnsi="宋体"/>
                <w:szCs w:val="21"/>
              </w:rPr>
              <w:t>1000万元—3000万元</w:t>
            </w:r>
          </w:p>
        </w:tc>
        <w:tc>
          <w:tcPr>
            <w:tcW w:w="1741" w:type="dxa"/>
            <w:tcBorders>
              <w:top w:val="single" w:color="auto" w:sz="8" w:space="0"/>
              <w:left w:val="single" w:color="auto" w:sz="4" w:space="0"/>
              <w:bottom w:val="single" w:color="auto" w:sz="4" w:space="0"/>
              <w:right w:val="single" w:color="auto" w:sz="8" w:space="0"/>
            </w:tcBorders>
            <w:noWrap w:val="0"/>
            <w:vAlign w:val="center"/>
          </w:tcPr>
          <w:p w14:paraId="7EB68181">
            <w:pPr>
              <w:spacing w:line="360" w:lineRule="auto"/>
              <w:jc w:val="center"/>
              <w:rPr>
                <w:rFonts w:ascii="宋体" w:hAnsi="宋体"/>
                <w:szCs w:val="21"/>
              </w:rPr>
            </w:pPr>
            <w:r>
              <w:rPr>
                <w:rFonts w:hint="eastAsia" w:ascii="宋体" w:hAnsi="宋体"/>
                <w:szCs w:val="21"/>
              </w:rPr>
              <w:t>3000万元—1亿元</w:t>
            </w:r>
          </w:p>
        </w:tc>
      </w:tr>
      <w:tr w14:paraId="7B960AE0">
        <w:tblPrEx>
          <w:tblCellMar>
            <w:top w:w="0" w:type="dxa"/>
            <w:left w:w="108" w:type="dxa"/>
            <w:bottom w:w="0" w:type="dxa"/>
            <w:right w:w="108" w:type="dxa"/>
          </w:tblCellMar>
        </w:tblPrEx>
        <w:trPr>
          <w:trHeight w:val="312" w:hRule="atLeast"/>
          <w:jc w:val="center"/>
        </w:trPr>
        <w:tc>
          <w:tcPr>
            <w:tcW w:w="2211" w:type="dxa"/>
            <w:tcBorders>
              <w:top w:val="single" w:color="auto" w:sz="4" w:space="0"/>
              <w:left w:val="single" w:color="auto" w:sz="8" w:space="0"/>
              <w:bottom w:val="single" w:color="auto" w:sz="4" w:space="0"/>
              <w:right w:val="single" w:color="auto" w:sz="4" w:space="0"/>
            </w:tcBorders>
            <w:noWrap w:val="0"/>
            <w:vAlign w:val="top"/>
          </w:tcPr>
          <w:p w14:paraId="505B72D9">
            <w:pPr>
              <w:spacing w:line="360" w:lineRule="auto"/>
              <w:rPr>
                <w:rFonts w:ascii="宋体" w:hAnsi="宋体"/>
                <w:szCs w:val="21"/>
              </w:rPr>
            </w:pPr>
            <w:r>
              <w:rPr>
                <w:rFonts w:hint="eastAsia" w:ascii="宋体" w:hAnsi="宋体"/>
                <w:szCs w:val="21"/>
              </w:rPr>
              <w:t>评估项目建议书</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4288F2B4">
            <w:pPr>
              <w:spacing w:line="360" w:lineRule="auto"/>
              <w:jc w:val="center"/>
              <w:rPr>
                <w:rFonts w:ascii="宋体" w:hAnsi="宋体"/>
                <w:szCs w:val="21"/>
              </w:rPr>
            </w:pPr>
            <w:r>
              <w:rPr>
                <w:rFonts w:hint="eastAsia" w:ascii="宋体" w:hAnsi="宋体"/>
                <w:szCs w:val="21"/>
              </w:rPr>
              <w:t>0.5—1</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2FD23AC5">
            <w:pPr>
              <w:spacing w:line="360" w:lineRule="auto"/>
              <w:jc w:val="center"/>
              <w:rPr>
                <w:rFonts w:ascii="宋体" w:hAnsi="宋体"/>
                <w:szCs w:val="21"/>
              </w:rPr>
            </w:pPr>
            <w:r>
              <w:rPr>
                <w:rFonts w:hint="eastAsia" w:ascii="宋体" w:hAnsi="宋体"/>
                <w:szCs w:val="21"/>
              </w:rPr>
              <w:t>1—1.5</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1975221C">
            <w:pPr>
              <w:spacing w:line="360" w:lineRule="auto"/>
              <w:jc w:val="center"/>
              <w:rPr>
                <w:rFonts w:ascii="宋体" w:hAnsi="宋体"/>
                <w:szCs w:val="21"/>
              </w:rPr>
            </w:pPr>
            <w:r>
              <w:rPr>
                <w:rFonts w:hint="eastAsia" w:ascii="宋体" w:hAnsi="宋体"/>
                <w:szCs w:val="21"/>
              </w:rPr>
              <w:t>1.5—4</w:t>
            </w:r>
          </w:p>
        </w:tc>
        <w:tc>
          <w:tcPr>
            <w:tcW w:w="1741" w:type="dxa"/>
            <w:tcBorders>
              <w:top w:val="single" w:color="auto" w:sz="4" w:space="0"/>
              <w:left w:val="single" w:color="auto" w:sz="4" w:space="0"/>
              <w:bottom w:val="single" w:color="auto" w:sz="4" w:space="0"/>
              <w:right w:val="single" w:color="auto" w:sz="8" w:space="0"/>
            </w:tcBorders>
            <w:noWrap w:val="0"/>
            <w:vAlign w:val="center"/>
          </w:tcPr>
          <w:p w14:paraId="153F0B0D">
            <w:pPr>
              <w:spacing w:line="360" w:lineRule="auto"/>
              <w:jc w:val="center"/>
              <w:rPr>
                <w:rFonts w:ascii="宋体" w:hAnsi="宋体"/>
                <w:szCs w:val="21"/>
              </w:rPr>
            </w:pPr>
            <w:r>
              <w:rPr>
                <w:rFonts w:hint="eastAsia" w:ascii="宋体" w:hAnsi="宋体"/>
                <w:szCs w:val="21"/>
              </w:rPr>
              <w:t>4—8</w:t>
            </w:r>
          </w:p>
        </w:tc>
      </w:tr>
      <w:tr w14:paraId="2DB78FF2">
        <w:tblPrEx>
          <w:tblCellMar>
            <w:top w:w="0" w:type="dxa"/>
            <w:left w:w="108" w:type="dxa"/>
            <w:bottom w:w="0" w:type="dxa"/>
            <w:right w:w="108" w:type="dxa"/>
          </w:tblCellMar>
        </w:tblPrEx>
        <w:trPr>
          <w:trHeight w:val="312" w:hRule="atLeast"/>
          <w:jc w:val="center"/>
        </w:trPr>
        <w:tc>
          <w:tcPr>
            <w:tcW w:w="2211" w:type="dxa"/>
            <w:tcBorders>
              <w:top w:val="single" w:color="auto" w:sz="4" w:space="0"/>
              <w:left w:val="single" w:color="auto" w:sz="8" w:space="0"/>
              <w:bottom w:val="single" w:color="auto" w:sz="4" w:space="0"/>
              <w:right w:val="single" w:color="auto" w:sz="4" w:space="0"/>
            </w:tcBorders>
            <w:noWrap w:val="0"/>
            <w:vAlign w:val="top"/>
          </w:tcPr>
          <w:p w14:paraId="1FC72635">
            <w:pPr>
              <w:spacing w:line="360" w:lineRule="auto"/>
              <w:rPr>
                <w:rFonts w:ascii="宋体" w:hAnsi="宋体"/>
                <w:szCs w:val="21"/>
              </w:rPr>
            </w:pPr>
            <w:r>
              <w:rPr>
                <w:rFonts w:hint="eastAsia" w:ascii="宋体" w:hAnsi="宋体"/>
                <w:szCs w:val="21"/>
              </w:rPr>
              <w:t>评估可行性研究报告</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1AA9C6B4">
            <w:pPr>
              <w:spacing w:line="360" w:lineRule="auto"/>
              <w:jc w:val="center"/>
              <w:rPr>
                <w:rFonts w:ascii="宋体" w:hAnsi="宋体"/>
                <w:szCs w:val="21"/>
              </w:rPr>
            </w:pPr>
            <w:r>
              <w:rPr>
                <w:rFonts w:hint="eastAsia" w:ascii="宋体" w:hAnsi="宋体"/>
                <w:szCs w:val="21"/>
              </w:rPr>
              <w:t>1—1.5</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24FEA646">
            <w:pPr>
              <w:spacing w:line="360" w:lineRule="auto"/>
              <w:jc w:val="center"/>
              <w:rPr>
                <w:rFonts w:ascii="宋体" w:hAnsi="宋体"/>
                <w:szCs w:val="21"/>
              </w:rPr>
            </w:pPr>
            <w:r>
              <w:rPr>
                <w:rFonts w:hint="eastAsia" w:ascii="宋体" w:hAnsi="宋体"/>
                <w:szCs w:val="21"/>
              </w:rPr>
              <w:t>1.5—2.5</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4B558A45">
            <w:pPr>
              <w:spacing w:line="360" w:lineRule="auto"/>
              <w:jc w:val="center"/>
              <w:rPr>
                <w:rFonts w:ascii="宋体" w:hAnsi="宋体"/>
                <w:szCs w:val="21"/>
              </w:rPr>
            </w:pPr>
            <w:r>
              <w:rPr>
                <w:rFonts w:hint="eastAsia" w:ascii="宋体" w:hAnsi="宋体"/>
                <w:szCs w:val="21"/>
              </w:rPr>
              <w:t>2.5—5</w:t>
            </w:r>
          </w:p>
        </w:tc>
        <w:tc>
          <w:tcPr>
            <w:tcW w:w="1741" w:type="dxa"/>
            <w:tcBorders>
              <w:top w:val="single" w:color="auto" w:sz="4" w:space="0"/>
              <w:left w:val="single" w:color="auto" w:sz="4" w:space="0"/>
              <w:bottom w:val="single" w:color="auto" w:sz="4" w:space="0"/>
              <w:right w:val="single" w:color="auto" w:sz="8" w:space="0"/>
            </w:tcBorders>
            <w:noWrap w:val="0"/>
            <w:vAlign w:val="center"/>
          </w:tcPr>
          <w:p w14:paraId="58E3A7FD">
            <w:pPr>
              <w:spacing w:line="360" w:lineRule="auto"/>
              <w:jc w:val="center"/>
              <w:rPr>
                <w:rFonts w:ascii="宋体" w:hAnsi="宋体"/>
                <w:szCs w:val="21"/>
              </w:rPr>
            </w:pPr>
            <w:r>
              <w:rPr>
                <w:rFonts w:hint="eastAsia" w:ascii="宋体" w:hAnsi="宋体"/>
                <w:szCs w:val="21"/>
              </w:rPr>
              <w:t>5—10</w:t>
            </w:r>
          </w:p>
        </w:tc>
      </w:tr>
      <w:tr w14:paraId="59726740">
        <w:tblPrEx>
          <w:tblCellMar>
            <w:top w:w="0" w:type="dxa"/>
            <w:left w:w="108" w:type="dxa"/>
            <w:bottom w:w="0" w:type="dxa"/>
            <w:right w:w="108" w:type="dxa"/>
          </w:tblCellMar>
        </w:tblPrEx>
        <w:trPr>
          <w:jc w:val="center"/>
        </w:trPr>
        <w:tc>
          <w:tcPr>
            <w:tcW w:w="2211" w:type="dxa"/>
            <w:tcBorders>
              <w:top w:val="single" w:color="auto" w:sz="4" w:space="0"/>
              <w:left w:val="single" w:color="auto" w:sz="8" w:space="0"/>
              <w:bottom w:val="single" w:color="auto" w:sz="4" w:space="0"/>
              <w:right w:val="single" w:color="auto" w:sz="4" w:space="0"/>
              <w:tl2br w:val="single" w:color="auto" w:sz="4" w:space="0"/>
            </w:tcBorders>
            <w:noWrap w:val="0"/>
            <w:vAlign w:val="top"/>
          </w:tcPr>
          <w:p w14:paraId="682DFEE3">
            <w:pPr>
              <w:spacing w:line="360" w:lineRule="auto"/>
              <w:ind w:firstLine="840" w:firstLineChars="400"/>
              <w:rPr>
                <w:rFonts w:ascii="宋体" w:hAnsi="宋体"/>
                <w:szCs w:val="21"/>
              </w:rPr>
            </w:pPr>
            <w:r>
              <w:rPr>
                <w:rFonts w:hint="eastAsia" w:ascii="宋体" w:hAnsi="宋体"/>
                <w:szCs w:val="21"/>
              </w:rPr>
              <w:t>评估投资额</w:t>
            </w:r>
          </w:p>
          <w:p w14:paraId="6C0721F8">
            <w:pPr>
              <w:spacing w:line="360" w:lineRule="auto"/>
              <w:rPr>
                <w:rFonts w:ascii="宋体" w:hAnsi="宋体"/>
                <w:szCs w:val="21"/>
              </w:rPr>
            </w:pPr>
            <w:r>
              <w:rPr>
                <w:rFonts w:hint="eastAsia" w:ascii="宋体" w:hAnsi="宋体"/>
                <w:szCs w:val="21"/>
              </w:rPr>
              <w:t>评估项目</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200D09FC">
            <w:pPr>
              <w:spacing w:line="360" w:lineRule="auto"/>
              <w:jc w:val="center"/>
              <w:rPr>
                <w:rFonts w:ascii="宋体" w:hAnsi="宋体"/>
                <w:szCs w:val="21"/>
              </w:rPr>
            </w:pPr>
            <w:r>
              <w:rPr>
                <w:rFonts w:hint="eastAsia" w:ascii="宋体" w:hAnsi="宋体"/>
                <w:szCs w:val="21"/>
              </w:rPr>
              <w:t>1亿元—5亿元</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572939F5">
            <w:pPr>
              <w:spacing w:line="360" w:lineRule="auto"/>
              <w:jc w:val="center"/>
              <w:rPr>
                <w:rFonts w:ascii="宋体" w:hAnsi="宋体"/>
                <w:szCs w:val="21"/>
              </w:rPr>
            </w:pPr>
            <w:r>
              <w:rPr>
                <w:rFonts w:hint="eastAsia" w:ascii="宋体" w:hAnsi="宋体"/>
                <w:szCs w:val="21"/>
              </w:rPr>
              <w:t>5亿元—10亿元</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6687B7EE">
            <w:pPr>
              <w:spacing w:line="360" w:lineRule="auto"/>
              <w:jc w:val="center"/>
              <w:rPr>
                <w:rFonts w:ascii="宋体" w:hAnsi="宋体"/>
                <w:szCs w:val="21"/>
              </w:rPr>
            </w:pPr>
            <w:r>
              <w:rPr>
                <w:rFonts w:hint="eastAsia" w:ascii="宋体" w:hAnsi="宋体"/>
                <w:szCs w:val="21"/>
              </w:rPr>
              <w:t>10亿元—50亿元</w:t>
            </w:r>
          </w:p>
        </w:tc>
        <w:tc>
          <w:tcPr>
            <w:tcW w:w="1741" w:type="dxa"/>
            <w:tcBorders>
              <w:top w:val="single" w:color="auto" w:sz="4" w:space="0"/>
              <w:left w:val="single" w:color="auto" w:sz="4" w:space="0"/>
              <w:bottom w:val="single" w:color="auto" w:sz="4" w:space="0"/>
              <w:right w:val="single" w:color="auto" w:sz="8" w:space="0"/>
            </w:tcBorders>
            <w:noWrap w:val="0"/>
            <w:vAlign w:val="center"/>
          </w:tcPr>
          <w:p w14:paraId="32DF1D06">
            <w:pPr>
              <w:spacing w:line="360" w:lineRule="auto"/>
              <w:jc w:val="center"/>
              <w:rPr>
                <w:rFonts w:ascii="宋体" w:hAnsi="宋体"/>
                <w:szCs w:val="21"/>
              </w:rPr>
            </w:pPr>
            <w:r>
              <w:rPr>
                <w:rFonts w:hint="eastAsia" w:ascii="宋体" w:hAnsi="宋体"/>
                <w:szCs w:val="21"/>
              </w:rPr>
              <w:t>50亿元以上</w:t>
            </w:r>
          </w:p>
        </w:tc>
      </w:tr>
      <w:tr w14:paraId="7FAD1BC2">
        <w:tblPrEx>
          <w:tblCellMar>
            <w:top w:w="0" w:type="dxa"/>
            <w:left w:w="108" w:type="dxa"/>
            <w:bottom w:w="0" w:type="dxa"/>
            <w:right w:w="108" w:type="dxa"/>
          </w:tblCellMar>
        </w:tblPrEx>
        <w:trPr>
          <w:trHeight w:val="312" w:hRule="atLeast"/>
          <w:jc w:val="center"/>
        </w:trPr>
        <w:tc>
          <w:tcPr>
            <w:tcW w:w="2211" w:type="dxa"/>
            <w:tcBorders>
              <w:top w:val="single" w:color="auto" w:sz="4" w:space="0"/>
              <w:left w:val="single" w:color="auto" w:sz="8" w:space="0"/>
              <w:bottom w:val="single" w:color="auto" w:sz="4" w:space="0"/>
              <w:right w:val="single" w:color="auto" w:sz="4" w:space="0"/>
            </w:tcBorders>
            <w:noWrap w:val="0"/>
            <w:vAlign w:val="top"/>
          </w:tcPr>
          <w:p w14:paraId="57E7338D">
            <w:pPr>
              <w:spacing w:line="360" w:lineRule="auto"/>
              <w:rPr>
                <w:rFonts w:ascii="宋体" w:hAnsi="宋体"/>
                <w:szCs w:val="21"/>
              </w:rPr>
            </w:pPr>
            <w:r>
              <w:rPr>
                <w:rFonts w:hint="eastAsia" w:ascii="宋体" w:hAnsi="宋体"/>
                <w:szCs w:val="21"/>
              </w:rPr>
              <w:t>评估项目建议书</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02D5581E">
            <w:pPr>
              <w:spacing w:line="360" w:lineRule="auto"/>
              <w:jc w:val="center"/>
              <w:rPr>
                <w:rFonts w:ascii="宋体" w:hAnsi="宋体"/>
                <w:szCs w:val="21"/>
              </w:rPr>
            </w:pPr>
            <w:r>
              <w:rPr>
                <w:rFonts w:hint="eastAsia" w:ascii="宋体" w:hAnsi="宋体"/>
                <w:szCs w:val="21"/>
              </w:rPr>
              <w:t>8—12</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42900167">
            <w:pPr>
              <w:spacing w:line="360" w:lineRule="auto"/>
              <w:jc w:val="center"/>
              <w:rPr>
                <w:rFonts w:ascii="宋体" w:hAnsi="宋体"/>
                <w:szCs w:val="21"/>
              </w:rPr>
            </w:pPr>
            <w:r>
              <w:rPr>
                <w:rFonts w:hint="eastAsia" w:ascii="宋体" w:hAnsi="宋体"/>
                <w:szCs w:val="21"/>
              </w:rPr>
              <w:t>12—15</w:t>
            </w:r>
          </w:p>
        </w:tc>
        <w:tc>
          <w:tcPr>
            <w:tcW w:w="1740" w:type="dxa"/>
            <w:tcBorders>
              <w:top w:val="single" w:color="auto" w:sz="4" w:space="0"/>
              <w:left w:val="single" w:color="auto" w:sz="4" w:space="0"/>
              <w:bottom w:val="single" w:color="auto" w:sz="4" w:space="0"/>
              <w:right w:val="single" w:color="auto" w:sz="4" w:space="0"/>
            </w:tcBorders>
            <w:noWrap w:val="0"/>
            <w:vAlign w:val="center"/>
          </w:tcPr>
          <w:p w14:paraId="656CE13C">
            <w:pPr>
              <w:spacing w:line="360" w:lineRule="auto"/>
              <w:jc w:val="center"/>
              <w:rPr>
                <w:rFonts w:ascii="宋体" w:hAnsi="宋体"/>
                <w:szCs w:val="21"/>
              </w:rPr>
            </w:pPr>
            <w:r>
              <w:rPr>
                <w:rFonts w:hint="eastAsia" w:ascii="宋体" w:hAnsi="宋体"/>
                <w:szCs w:val="21"/>
              </w:rPr>
              <w:t>15—17</w:t>
            </w:r>
          </w:p>
        </w:tc>
        <w:tc>
          <w:tcPr>
            <w:tcW w:w="1741" w:type="dxa"/>
            <w:tcBorders>
              <w:top w:val="single" w:color="auto" w:sz="4" w:space="0"/>
              <w:left w:val="single" w:color="auto" w:sz="4" w:space="0"/>
              <w:bottom w:val="single" w:color="auto" w:sz="4" w:space="0"/>
              <w:right w:val="single" w:color="auto" w:sz="8" w:space="0"/>
            </w:tcBorders>
            <w:noWrap w:val="0"/>
            <w:vAlign w:val="center"/>
          </w:tcPr>
          <w:p w14:paraId="6336C7E3">
            <w:pPr>
              <w:spacing w:line="360" w:lineRule="auto"/>
              <w:jc w:val="center"/>
              <w:rPr>
                <w:rFonts w:ascii="宋体" w:hAnsi="宋体"/>
                <w:szCs w:val="21"/>
              </w:rPr>
            </w:pPr>
            <w:r>
              <w:rPr>
                <w:rFonts w:hint="eastAsia" w:ascii="宋体" w:hAnsi="宋体"/>
                <w:szCs w:val="21"/>
              </w:rPr>
              <w:t>17—20</w:t>
            </w:r>
          </w:p>
        </w:tc>
      </w:tr>
      <w:tr w14:paraId="684002DB">
        <w:tblPrEx>
          <w:tblCellMar>
            <w:top w:w="0" w:type="dxa"/>
            <w:left w:w="108" w:type="dxa"/>
            <w:bottom w:w="0" w:type="dxa"/>
            <w:right w:w="108" w:type="dxa"/>
          </w:tblCellMar>
        </w:tblPrEx>
        <w:trPr>
          <w:trHeight w:val="312" w:hRule="atLeast"/>
          <w:jc w:val="center"/>
        </w:trPr>
        <w:tc>
          <w:tcPr>
            <w:tcW w:w="2211" w:type="dxa"/>
            <w:tcBorders>
              <w:top w:val="single" w:color="auto" w:sz="4" w:space="0"/>
              <w:left w:val="single" w:color="auto" w:sz="8" w:space="0"/>
              <w:bottom w:val="single" w:color="auto" w:sz="8" w:space="0"/>
              <w:right w:val="single" w:color="auto" w:sz="4" w:space="0"/>
            </w:tcBorders>
            <w:noWrap w:val="0"/>
            <w:vAlign w:val="top"/>
          </w:tcPr>
          <w:p w14:paraId="657A34D4">
            <w:pPr>
              <w:spacing w:line="360" w:lineRule="auto"/>
              <w:rPr>
                <w:rFonts w:ascii="宋体" w:hAnsi="宋体"/>
                <w:szCs w:val="21"/>
              </w:rPr>
            </w:pPr>
            <w:r>
              <w:rPr>
                <w:rFonts w:hint="eastAsia" w:ascii="宋体" w:hAnsi="宋体"/>
                <w:szCs w:val="21"/>
              </w:rPr>
              <w:t>评估可行性研究报告</w:t>
            </w:r>
          </w:p>
        </w:tc>
        <w:tc>
          <w:tcPr>
            <w:tcW w:w="1740" w:type="dxa"/>
            <w:tcBorders>
              <w:top w:val="single" w:color="auto" w:sz="4" w:space="0"/>
              <w:left w:val="single" w:color="auto" w:sz="4" w:space="0"/>
              <w:bottom w:val="single" w:color="auto" w:sz="8" w:space="0"/>
              <w:right w:val="single" w:color="auto" w:sz="4" w:space="0"/>
            </w:tcBorders>
            <w:noWrap w:val="0"/>
            <w:vAlign w:val="center"/>
          </w:tcPr>
          <w:p w14:paraId="4E36C30E">
            <w:pPr>
              <w:spacing w:line="360" w:lineRule="auto"/>
              <w:jc w:val="center"/>
              <w:rPr>
                <w:rFonts w:ascii="宋体" w:hAnsi="宋体"/>
                <w:szCs w:val="21"/>
              </w:rPr>
            </w:pPr>
            <w:r>
              <w:rPr>
                <w:rFonts w:hint="eastAsia" w:ascii="宋体" w:hAnsi="宋体"/>
                <w:szCs w:val="21"/>
              </w:rPr>
              <w:t>10—15</w:t>
            </w:r>
          </w:p>
        </w:tc>
        <w:tc>
          <w:tcPr>
            <w:tcW w:w="1740" w:type="dxa"/>
            <w:tcBorders>
              <w:top w:val="single" w:color="auto" w:sz="4" w:space="0"/>
              <w:left w:val="single" w:color="auto" w:sz="4" w:space="0"/>
              <w:bottom w:val="single" w:color="auto" w:sz="8" w:space="0"/>
              <w:right w:val="single" w:color="auto" w:sz="4" w:space="0"/>
            </w:tcBorders>
            <w:noWrap w:val="0"/>
            <w:vAlign w:val="center"/>
          </w:tcPr>
          <w:p w14:paraId="2929C349">
            <w:pPr>
              <w:spacing w:line="360" w:lineRule="auto"/>
              <w:jc w:val="center"/>
              <w:rPr>
                <w:rFonts w:ascii="宋体" w:hAnsi="宋体"/>
                <w:szCs w:val="21"/>
              </w:rPr>
            </w:pPr>
            <w:r>
              <w:rPr>
                <w:rFonts w:hint="eastAsia" w:ascii="宋体" w:hAnsi="宋体"/>
                <w:szCs w:val="21"/>
              </w:rPr>
              <w:t>15—20</w:t>
            </w:r>
          </w:p>
        </w:tc>
        <w:tc>
          <w:tcPr>
            <w:tcW w:w="1740" w:type="dxa"/>
            <w:tcBorders>
              <w:top w:val="single" w:color="auto" w:sz="4" w:space="0"/>
              <w:left w:val="single" w:color="auto" w:sz="4" w:space="0"/>
              <w:bottom w:val="single" w:color="auto" w:sz="8" w:space="0"/>
              <w:right w:val="single" w:color="auto" w:sz="4" w:space="0"/>
            </w:tcBorders>
            <w:noWrap w:val="0"/>
            <w:vAlign w:val="center"/>
          </w:tcPr>
          <w:p w14:paraId="0DB5E2BC">
            <w:pPr>
              <w:spacing w:line="360" w:lineRule="auto"/>
              <w:jc w:val="center"/>
              <w:rPr>
                <w:rFonts w:ascii="宋体" w:hAnsi="宋体"/>
                <w:szCs w:val="21"/>
              </w:rPr>
            </w:pPr>
            <w:r>
              <w:rPr>
                <w:rFonts w:hint="eastAsia" w:ascii="宋体" w:hAnsi="宋体"/>
                <w:szCs w:val="21"/>
              </w:rPr>
              <w:t>20—25</w:t>
            </w:r>
          </w:p>
        </w:tc>
        <w:tc>
          <w:tcPr>
            <w:tcW w:w="1741" w:type="dxa"/>
            <w:tcBorders>
              <w:top w:val="single" w:color="auto" w:sz="4" w:space="0"/>
              <w:left w:val="single" w:color="auto" w:sz="4" w:space="0"/>
              <w:bottom w:val="single" w:color="auto" w:sz="8" w:space="0"/>
              <w:right w:val="single" w:color="auto" w:sz="8" w:space="0"/>
            </w:tcBorders>
            <w:noWrap w:val="0"/>
            <w:vAlign w:val="center"/>
          </w:tcPr>
          <w:p w14:paraId="0030D718">
            <w:pPr>
              <w:spacing w:line="360" w:lineRule="auto"/>
              <w:jc w:val="center"/>
              <w:rPr>
                <w:rFonts w:ascii="宋体" w:hAnsi="宋体"/>
                <w:szCs w:val="21"/>
              </w:rPr>
            </w:pPr>
            <w:r>
              <w:rPr>
                <w:rFonts w:hint="eastAsia" w:ascii="宋体" w:hAnsi="宋体"/>
                <w:szCs w:val="21"/>
              </w:rPr>
              <w:t>25—35</w:t>
            </w:r>
          </w:p>
        </w:tc>
      </w:tr>
    </w:tbl>
    <w:p w14:paraId="4E34D15C">
      <w:pPr>
        <w:snapToGrid w:val="0"/>
        <w:spacing w:line="360" w:lineRule="auto"/>
        <w:ind w:left="420" w:hanging="420" w:hangingChars="200"/>
        <w:textAlignment w:val="top"/>
        <w:rPr>
          <w:rFonts w:ascii="宋体" w:hAnsi="宋体"/>
          <w:szCs w:val="21"/>
        </w:rPr>
      </w:pPr>
      <w:r>
        <w:rPr>
          <w:rFonts w:hint="eastAsia" w:ascii="宋体" w:hAnsi="宋体"/>
          <w:szCs w:val="21"/>
        </w:rPr>
        <w:t xml:space="preserve">注：①评估投资额是指广西壮族自治区水利技术中心出具审查意见的项目投资额。 </w:t>
      </w:r>
    </w:p>
    <w:p w14:paraId="09E684E3">
      <w:pPr>
        <w:snapToGrid w:val="0"/>
        <w:spacing w:line="360" w:lineRule="auto"/>
        <w:ind w:left="441" w:leftChars="210"/>
        <w:textAlignment w:val="top"/>
        <w:rPr>
          <w:rFonts w:ascii="宋体" w:hAnsi="宋体"/>
          <w:szCs w:val="21"/>
        </w:rPr>
      </w:pPr>
      <w:r>
        <w:rPr>
          <w:rFonts w:hint="eastAsia" w:ascii="宋体" w:hAnsi="宋体"/>
          <w:szCs w:val="21"/>
        </w:rPr>
        <w:t>②投资额在分档区间的，按投资额在相应的区间内用插入法计算。</w:t>
      </w:r>
    </w:p>
    <w:p w14:paraId="415CC571">
      <w:pPr>
        <w:snapToGrid w:val="0"/>
        <w:spacing w:line="360" w:lineRule="auto"/>
        <w:ind w:firstLine="420" w:firstLineChars="200"/>
        <w:textAlignment w:val="top"/>
        <w:rPr>
          <w:rFonts w:ascii="宋体" w:hAnsi="宋体"/>
          <w:szCs w:val="21"/>
        </w:rPr>
      </w:pPr>
    </w:p>
    <w:p w14:paraId="00CC2E9A">
      <w:pPr>
        <w:snapToGrid w:val="0"/>
        <w:spacing w:line="360" w:lineRule="auto"/>
        <w:ind w:firstLine="420" w:firstLineChars="200"/>
        <w:textAlignment w:val="top"/>
        <w:rPr>
          <w:rFonts w:ascii="宋体" w:hAnsi="宋体"/>
          <w:szCs w:val="21"/>
        </w:rPr>
      </w:pPr>
      <w:r>
        <w:rPr>
          <w:rFonts w:hint="eastAsia" w:ascii="宋体" w:hAnsi="宋体"/>
          <w:szCs w:val="21"/>
        </w:rPr>
        <w:t>（2）行业调整系数：水利、水电取1.2。</w:t>
      </w:r>
    </w:p>
    <w:p w14:paraId="4BB90E82">
      <w:pPr>
        <w:snapToGrid w:val="0"/>
        <w:spacing w:line="360" w:lineRule="auto"/>
        <w:ind w:firstLine="420" w:firstLineChars="200"/>
        <w:textAlignment w:val="top"/>
        <w:rPr>
          <w:rFonts w:ascii="宋体" w:hAnsi="宋体"/>
          <w:szCs w:val="21"/>
        </w:rPr>
      </w:pPr>
      <w:r>
        <w:rPr>
          <w:rFonts w:hint="eastAsia" w:ascii="宋体" w:hAnsi="宋体"/>
          <w:szCs w:val="21"/>
        </w:rPr>
        <w:t>（3）工程复杂程度调整系数：是对审查项目的复杂程度和审查工作量差异进行调整的系数，工程复杂程度分一般、较复杂和复杂三个等级，其调整系数分别为：一般0.8，较复杂1.0，复杂1.2。</w:t>
      </w:r>
    </w:p>
    <w:p w14:paraId="7E3C81B1">
      <w:pPr>
        <w:snapToGrid w:val="0"/>
        <w:spacing w:line="360" w:lineRule="auto"/>
        <w:ind w:firstLine="420" w:firstLineChars="200"/>
        <w:textAlignment w:val="top"/>
        <w:rPr>
          <w:rFonts w:ascii="宋体" w:hAnsi="宋体"/>
          <w:szCs w:val="21"/>
        </w:rPr>
      </w:pPr>
      <w:r>
        <w:rPr>
          <w:rFonts w:hint="eastAsia" w:ascii="宋体" w:hAnsi="宋体"/>
          <w:szCs w:val="21"/>
        </w:rPr>
        <w:t>（4）投标下浮系数：投标人根据企业自身情况进行投标下浮报价。</w:t>
      </w:r>
    </w:p>
    <w:p w14:paraId="5F054BFC">
      <w:pPr>
        <w:snapToGrid w:val="0"/>
        <w:spacing w:line="360" w:lineRule="auto"/>
        <w:ind w:firstLine="420" w:firstLineChars="200"/>
        <w:textAlignment w:val="top"/>
        <w:rPr>
          <w:rFonts w:ascii="宋体" w:hAnsi="宋体"/>
          <w:szCs w:val="21"/>
          <w:lang w:bidi="ar"/>
        </w:rPr>
      </w:pPr>
      <w:r>
        <w:rPr>
          <w:rFonts w:hint="eastAsia" w:ascii="宋体" w:hAnsi="宋体"/>
          <w:szCs w:val="21"/>
          <w:lang w:bidi="ar"/>
        </w:rPr>
        <w:t>2. 工程规模较大且技术较复杂的项目，按工日法计算项目技术审查评估咨询服务费用</w:t>
      </w:r>
    </w:p>
    <w:p w14:paraId="33A9114D">
      <w:pPr>
        <w:snapToGrid w:val="0"/>
        <w:spacing w:line="360" w:lineRule="auto"/>
        <w:ind w:firstLine="420" w:firstLineChars="200"/>
        <w:textAlignment w:val="top"/>
        <w:rPr>
          <w:rFonts w:ascii="宋体" w:hAnsi="宋体"/>
          <w:szCs w:val="21"/>
        </w:rPr>
      </w:pPr>
      <w:r>
        <w:rPr>
          <w:rFonts w:hint="eastAsia" w:ascii="宋体" w:hAnsi="宋体"/>
          <w:szCs w:val="21"/>
          <w:lang w:bidi="ar"/>
        </w:rPr>
        <w:t>工程规模及技术审查工作量较大，中介机构开展审查所耗工日及成本费用较大的项目，</w:t>
      </w:r>
      <w:r>
        <w:rPr>
          <w:rFonts w:hint="eastAsia" w:ascii="宋体" w:hAnsi="宋体"/>
          <w:szCs w:val="21"/>
        </w:rPr>
        <w:t>采用工日法计算技术审查评估咨询服务费。具体计算方法如下：</w:t>
      </w:r>
    </w:p>
    <w:p w14:paraId="670D026D">
      <w:pPr>
        <w:snapToGrid w:val="0"/>
        <w:spacing w:line="360" w:lineRule="auto"/>
        <w:ind w:firstLine="420" w:firstLineChars="200"/>
        <w:textAlignment w:val="top"/>
        <w:rPr>
          <w:rFonts w:ascii="宋体" w:hAnsi="宋体"/>
          <w:szCs w:val="21"/>
        </w:rPr>
      </w:pPr>
      <w:r>
        <w:rPr>
          <w:rFonts w:hint="eastAsia" w:ascii="宋体" w:hAnsi="宋体"/>
          <w:szCs w:val="21"/>
        </w:rPr>
        <w:t>项目技术审查评估咨询服务费=（专家咨询费+中介机构评审运行费）×（1-投标下浮系数）。</w:t>
      </w:r>
    </w:p>
    <w:p w14:paraId="3501FC51">
      <w:pPr>
        <w:snapToGrid w:val="0"/>
        <w:spacing w:line="360" w:lineRule="auto"/>
        <w:ind w:firstLine="420" w:firstLineChars="200"/>
        <w:textAlignment w:val="top"/>
        <w:rPr>
          <w:rFonts w:ascii="宋体" w:hAnsi="宋体"/>
          <w:szCs w:val="21"/>
        </w:rPr>
      </w:pPr>
      <w:r>
        <w:rPr>
          <w:rFonts w:hint="eastAsia" w:ascii="宋体" w:hAnsi="宋体"/>
          <w:szCs w:val="21"/>
        </w:rPr>
        <w:t>专家咨询费=评审评估咨询工作所耗工日×工日费用标准×工程复杂程度调整系数</w:t>
      </w:r>
    </w:p>
    <w:p w14:paraId="46A4AFA5">
      <w:pPr>
        <w:snapToGrid w:val="0"/>
        <w:spacing w:line="360" w:lineRule="auto"/>
        <w:ind w:firstLine="420" w:firstLineChars="200"/>
        <w:textAlignment w:val="top"/>
        <w:rPr>
          <w:rFonts w:ascii="宋体" w:hAnsi="宋体"/>
          <w:szCs w:val="21"/>
        </w:rPr>
      </w:pPr>
      <w:r>
        <w:rPr>
          <w:rFonts w:hint="eastAsia" w:ascii="宋体" w:hAnsi="宋体"/>
          <w:szCs w:val="21"/>
        </w:rPr>
        <w:t>（1）评审评估咨询工作所耗工日应考虑工程项目的</w:t>
      </w:r>
      <w:r>
        <w:rPr>
          <w:rFonts w:hint="eastAsia" w:ascii="宋体" w:hAnsi="宋体"/>
          <w:bCs/>
          <w:szCs w:val="21"/>
        </w:rPr>
        <w:t>类别、内容、难度及</w:t>
      </w:r>
      <w:r>
        <w:rPr>
          <w:rFonts w:hint="eastAsia" w:ascii="宋体" w:hAnsi="宋体"/>
          <w:szCs w:val="21"/>
        </w:rPr>
        <w:t>审查工作量差异等因素，由委托方和受托方共同合理测算确定，并在项目技术审查委托合同约定。</w:t>
      </w:r>
    </w:p>
    <w:p w14:paraId="36F74524">
      <w:pPr>
        <w:snapToGrid w:val="0"/>
        <w:spacing w:line="360" w:lineRule="auto"/>
        <w:ind w:firstLine="420" w:firstLineChars="200"/>
        <w:textAlignment w:val="top"/>
        <w:rPr>
          <w:rFonts w:ascii="宋体" w:hAnsi="宋体"/>
          <w:szCs w:val="21"/>
        </w:rPr>
      </w:pPr>
      <w:r>
        <w:rPr>
          <w:rFonts w:hint="eastAsia" w:ascii="宋体" w:hAnsi="宋体"/>
          <w:szCs w:val="21"/>
        </w:rPr>
        <w:t>（2）专家工日费用标准</w:t>
      </w:r>
    </w:p>
    <w:tbl>
      <w:tblPr>
        <w:tblStyle w:val="9"/>
        <w:tblW w:w="8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44"/>
        <w:gridCol w:w="3516"/>
      </w:tblGrid>
      <w:tr w14:paraId="17700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44" w:type="dxa"/>
            <w:noWrap w:val="0"/>
            <w:vAlign w:val="top"/>
          </w:tcPr>
          <w:p w14:paraId="0E603012">
            <w:pPr>
              <w:snapToGrid w:val="0"/>
              <w:spacing w:line="360" w:lineRule="auto"/>
              <w:jc w:val="center"/>
              <w:textAlignment w:val="top"/>
              <w:rPr>
                <w:rFonts w:ascii="宋体" w:hAnsi="宋体"/>
                <w:szCs w:val="21"/>
              </w:rPr>
            </w:pPr>
            <w:r>
              <w:rPr>
                <w:rFonts w:hint="eastAsia" w:ascii="宋体" w:hAnsi="宋体"/>
                <w:szCs w:val="21"/>
              </w:rPr>
              <w:t>咨询人员职级</w:t>
            </w:r>
          </w:p>
        </w:tc>
        <w:tc>
          <w:tcPr>
            <w:tcW w:w="3516" w:type="dxa"/>
            <w:noWrap w:val="0"/>
            <w:vAlign w:val="top"/>
          </w:tcPr>
          <w:p w14:paraId="703BB973">
            <w:pPr>
              <w:snapToGrid w:val="0"/>
              <w:spacing w:line="360" w:lineRule="auto"/>
              <w:jc w:val="center"/>
              <w:textAlignment w:val="top"/>
              <w:rPr>
                <w:rFonts w:ascii="宋体" w:hAnsi="宋体"/>
                <w:szCs w:val="21"/>
              </w:rPr>
            </w:pPr>
            <w:r>
              <w:rPr>
                <w:rFonts w:hint="eastAsia" w:ascii="宋体" w:hAnsi="宋体"/>
                <w:szCs w:val="21"/>
              </w:rPr>
              <w:t>工日费用标准（元）</w:t>
            </w:r>
          </w:p>
        </w:tc>
      </w:tr>
      <w:tr w14:paraId="73968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44" w:type="dxa"/>
            <w:noWrap w:val="0"/>
            <w:vAlign w:val="top"/>
          </w:tcPr>
          <w:p w14:paraId="5A6E28E8">
            <w:pPr>
              <w:snapToGrid w:val="0"/>
              <w:spacing w:line="360" w:lineRule="auto"/>
              <w:jc w:val="center"/>
              <w:textAlignment w:val="top"/>
              <w:rPr>
                <w:rFonts w:ascii="宋体" w:hAnsi="宋体"/>
                <w:szCs w:val="21"/>
              </w:rPr>
            </w:pPr>
            <w:r>
              <w:rPr>
                <w:rFonts w:hint="eastAsia" w:ascii="宋体" w:hAnsi="宋体"/>
                <w:szCs w:val="21"/>
              </w:rPr>
              <w:t>高级专家</w:t>
            </w:r>
          </w:p>
        </w:tc>
        <w:tc>
          <w:tcPr>
            <w:tcW w:w="3516" w:type="dxa"/>
            <w:noWrap w:val="0"/>
            <w:vAlign w:val="top"/>
          </w:tcPr>
          <w:p w14:paraId="2CE50F18">
            <w:pPr>
              <w:snapToGrid w:val="0"/>
              <w:spacing w:line="360" w:lineRule="auto"/>
              <w:jc w:val="center"/>
              <w:textAlignment w:val="top"/>
              <w:rPr>
                <w:rFonts w:ascii="宋体" w:hAnsi="宋体"/>
                <w:szCs w:val="21"/>
              </w:rPr>
            </w:pPr>
            <w:r>
              <w:rPr>
                <w:rFonts w:hint="eastAsia" w:ascii="宋体" w:hAnsi="宋体"/>
                <w:szCs w:val="21"/>
              </w:rPr>
              <w:t>1000—1200</w:t>
            </w:r>
          </w:p>
        </w:tc>
      </w:tr>
      <w:tr w14:paraId="49332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44" w:type="dxa"/>
            <w:noWrap w:val="0"/>
            <w:vAlign w:val="top"/>
          </w:tcPr>
          <w:p w14:paraId="17CA269F">
            <w:pPr>
              <w:snapToGrid w:val="0"/>
              <w:spacing w:line="360" w:lineRule="auto"/>
              <w:jc w:val="center"/>
              <w:textAlignment w:val="top"/>
              <w:rPr>
                <w:rFonts w:ascii="宋体" w:hAnsi="宋体"/>
                <w:szCs w:val="21"/>
              </w:rPr>
            </w:pPr>
            <w:r>
              <w:rPr>
                <w:rFonts w:hint="eastAsia" w:ascii="宋体" w:hAnsi="宋体"/>
                <w:szCs w:val="21"/>
              </w:rPr>
              <w:t>高级专业技术职称的咨询人员</w:t>
            </w:r>
          </w:p>
        </w:tc>
        <w:tc>
          <w:tcPr>
            <w:tcW w:w="3516" w:type="dxa"/>
            <w:noWrap w:val="0"/>
            <w:vAlign w:val="top"/>
          </w:tcPr>
          <w:p w14:paraId="49B17B4C">
            <w:pPr>
              <w:snapToGrid w:val="0"/>
              <w:spacing w:line="360" w:lineRule="auto"/>
              <w:jc w:val="center"/>
              <w:textAlignment w:val="top"/>
              <w:rPr>
                <w:rFonts w:ascii="宋体" w:hAnsi="宋体"/>
                <w:szCs w:val="21"/>
              </w:rPr>
            </w:pPr>
            <w:r>
              <w:rPr>
                <w:rFonts w:hint="eastAsia" w:ascii="宋体" w:hAnsi="宋体"/>
                <w:szCs w:val="21"/>
              </w:rPr>
              <w:t>800—1000</w:t>
            </w:r>
          </w:p>
        </w:tc>
      </w:tr>
      <w:tr w14:paraId="36422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44" w:type="dxa"/>
            <w:noWrap w:val="0"/>
            <w:vAlign w:val="top"/>
          </w:tcPr>
          <w:p w14:paraId="3EA02697">
            <w:pPr>
              <w:snapToGrid w:val="0"/>
              <w:spacing w:line="360" w:lineRule="auto"/>
              <w:jc w:val="center"/>
              <w:textAlignment w:val="top"/>
              <w:rPr>
                <w:rFonts w:ascii="宋体" w:hAnsi="宋体"/>
                <w:szCs w:val="21"/>
              </w:rPr>
            </w:pPr>
            <w:r>
              <w:rPr>
                <w:rFonts w:hint="eastAsia" w:ascii="宋体" w:hAnsi="宋体"/>
                <w:szCs w:val="21"/>
              </w:rPr>
              <w:t>中级专业技术职称的咨询人员</w:t>
            </w:r>
          </w:p>
        </w:tc>
        <w:tc>
          <w:tcPr>
            <w:tcW w:w="3516" w:type="dxa"/>
            <w:noWrap w:val="0"/>
            <w:vAlign w:val="top"/>
          </w:tcPr>
          <w:p w14:paraId="491F1103">
            <w:pPr>
              <w:snapToGrid w:val="0"/>
              <w:spacing w:line="360" w:lineRule="auto"/>
              <w:jc w:val="center"/>
              <w:textAlignment w:val="top"/>
              <w:rPr>
                <w:rFonts w:ascii="宋体" w:hAnsi="宋体"/>
                <w:szCs w:val="21"/>
              </w:rPr>
            </w:pPr>
            <w:r>
              <w:rPr>
                <w:rFonts w:hint="eastAsia" w:ascii="宋体" w:hAnsi="宋体"/>
                <w:szCs w:val="21"/>
              </w:rPr>
              <w:t>600—800</w:t>
            </w:r>
          </w:p>
        </w:tc>
      </w:tr>
    </w:tbl>
    <w:p w14:paraId="628DCCEA">
      <w:pPr>
        <w:snapToGrid w:val="0"/>
        <w:spacing w:line="360" w:lineRule="auto"/>
        <w:ind w:firstLine="420" w:firstLineChars="200"/>
        <w:textAlignment w:val="top"/>
        <w:rPr>
          <w:rFonts w:ascii="宋体" w:hAnsi="宋体"/>
          <w:szCs w:val="21"/>
        </w:rPr>
      </w:pPr>
      <w:r>
        <w:rPr>
          <w:rFonts w:hint="eastAsia" w:ascii="宋体" w:hAnsi="宋体"/>
          <w:szCs w:val="21"/>
        </w:rPr>
        <w:t>注：参照国家发展计划委员会《建设项目前期工作咨询收费暂行规定》（计价格〔1999〕1283号）及自治区物价局和发展计划委员会《转发国家计委关于印发建设项目前期工作咨询收费暂行规定的通知》（桂价经字〔2000〕88号）的标准。</w:t>
      </w:r>
    </w:p>
    <w:p w14:paraId="2B40A949">
      <w:pPr>
        <w:snapToGrid w:val="0"/>
        <w:spacing w:line="360" w:lineRule="auto"/>
        <w:ind w:firstLine="420" w:firstLineChars="200"/>
        <w:textAlignment w:val="top"/>
        <w:rPr>
          <w:rFonts w:ascii="宋体" w:hAnsi="宋体"/>
          <w:szCs w:val="21"/>
        </w:rPr>
      </w:pPr>
      <w:r>
        <w:rPr>
          <w:rFonts w:hint="eastAsia" w:ascii="宋体" w:hAnsi="宋体"/>
          <w:szCs w:val="21"/>
        </w:rPr>
        <w:t>（3）工程复杂程度调整系数：工程复杂程度分一般、较复杂和复杂三个等级，其调整系数分别为：一般0.8，较复杂1.0，复杂1.2。</w:t>
      </w:r>
    </w:p>
    <w:p w14:paraId="63B943FF">
      <w:pPr>
        <w:snapToGrid w:val="0"/>
        <w:spacing w:line="360" w:lineRule="auto"/>
        <w:ind w:firstLine="420" w:firstLineChars="200"/>
        <w:textAlignment w:val="top"/>
        <w:rPr>
          <w:rFonts w:ascii="宋体" w:hAnsi="宋体"/>
          <w:szCs w:val="21"/>
        </w:rPr>
      </w:pPr>
      <w:r>
        <w:rPr>
          <w:rFonts w:hint="eastAsia" w:ascii="宋体" w:hAnsi="宋体"/>
          <w:szCs w:val="21"/>
        </w:rPr>
        <w:t>（4）中介机构评审运行费</w:t>
      </w:r>
    </w:p>
    <w:p w14:paraId="15F74154">
      <w:pPr>
        <w:snapToGrid w:val="0"/>
        <w:spacing w:line="360" w:lineRule="auto"/>
        <w:ind w:firstLine="420" w:firstLineChars="200"/>
        <w:textAlignment w:val="top"/>
        <w:rPr>
          <w:rFonts w:ascii="宋体" w:hAnsi="宋体"/>
          <w:szCs w:val="21"/>
        </w:rPr>
      </w:pPr>
      <w:r>
        <w:rPr>
          <w:rFonts w:hint="eastAsia" w:ascii="宋体" w:hAnsi="宋体"/>
          <w:szCs w:val="21"/>
        </w:rPr>
        <w:t>中介机构评审运行费按专家咨询费的60%计算。主要包括：中介机构人员工资、奖金、福利，中介机构的利润及税金；评审工作所需场地租用费、会务资料费、差旅费、住宿交通费等所发生的费用。</w:t>
      </w:r>
    </w:p>
    <w:p w14:paraId="04C9466E">
      <w:pPr>
        <w:snapToGrid w:val="0"/>
        <w:spacing w:line="360" w:lineRule="auto"/>
        <w:ind w:firstLine="422" w:firstLineChars="200"/>
        <w:textAlignment w:val="top"/>
        <w:rPr>
          <w:rFonts w:ascii="宋体" w:hAnsi="宋体"/>
          <w:b/>
          <w:bCs/>
          <w:szCs w:val="21"/>
        </w:rPr>
      </w:pPr>
      <w:r>
        <w:rPr>
          <w:rFonts w:hint="eastAsia" w:ascii="宋体" w:hAnsi="宋体"/>
          <w:b/>
          <w:bCs/>
          <w:szCs w:val="21"/>
        </w:rPr>
        <w:t>（二）工程项目初步设计报告、设计变更报告以及调整设计概算审查评估咨询服务费用</w:t>
      </w:r>
    </w:p>
    <w:p w14:paraId="677647B4">
      <w:pPr>
        <w:snapToGrid w:val="0"/>
        <w:spacing w:line="360" w:lineRule="auto"/>
        <w:ind w:firstLine="420" w:firstLineChars="200"/>
        <w:textAlignment w:val="top"/>
        <w:rPr>
          <w:rFonts w:ascii="宋体" w:hAnsi="宋体"/>
          <w:szCs w:val="21"/>
        </w:rPr>
      </w:pPr>
      <w:r>
        <w:rPr>
          <w:rFonts w:hint="eastAsia" w:ascii="宋体" w:hAnsi="宋体"/>
          <w:szCs w:val="21"/>
        </w:rPr>
        <w:t>参照《广西壮族自治区水利水电工程设计概（预）算补充定额》（桂水基〔2014〕41号）的标准。项目技术审查评估咨询服务费=咨询费计费额×费率×工程复杂程度调整系数×（1-投标下浮系数）。最低收费不低于1.5万元。</w:t>
      </w:r>
    </w:p>
    <w:p w14:paraId="270DBE2E">
      <w:pPr>
        <w:snapToGrid w:val="0"/>
        <w:spacing w:line="360" w:lineRule="auto"/>
        <w:ind w:firstLine="420" w:firstLineChars="200"/>
        <w:textAlignment w:val="top"/>
        <w:rPr>
          <w:rFonts w:ascii="宋体" w:hAnsi="宋体"/>
          <w:szCs w:val="21"/>
        </w:rPr>
      </w:pPr>
      <w:r>
        <w:rPr>
          <w:rFonts w:hint="eastAsia" w:ascii="宋体" w:hAnsi="宋体"/>
          <w:szCs w:val="21"/>
        </w:rPr>
        <w:t>（1）咨询费计费额及费率参考表                             单位：万元</w:t>
      </w:r>
    </w:p>
    <w:tbl>
      <w:tblPr>
        <w:tblStyle w:val="9"/>
        <w:tblW w:w="91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3"/>
        <w:gridCol w:w="2513"/>
        <w:gridCol w:w="2105"/>
        <w:gridCol w:w="3764"/>
      </w:tblGrid>
      <w:tr w14:paraId="6C52F8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5FC81CD7">
            <w:pPr>
              <w:spacing w:line="360" w:lineRule="auto"/>
              <w:jc w:val="center"/>
              <w:rPr>
                <w:rFonts w:ascii="宋体" w:hAnsi="宋体"/>
                <w:szCs w:val="21"/>
              </w:rPr>
            </w:pPr>
            <w:r>
              <w:rPr>
                <w:rFonts w:hint="eastAsia" w:ascii="宋体" w:hAnsi="宋体"/>
                <w:szCs w:val="21"/>
              </w:rPr>
              <w:t>序号</w:t>
            </w:r>
          </w:p>
        </w:tc>
        <w:tc>
          <w:tcPr>
            <w:tcW w:w="2513" w:type="dxa"/>
            <w:noWrap w:val="0"/>
            <w:vAlign w:val="center"/>
          </w:tcPr>
          <w:p w14:paraId="353E8273">
            <w:pPr>
              <w:spacing w:line="360" w:lineRule="auto"/>
              <w:jc w:val="center"/>
              <w:rPr>
                <w:rFonts w:ascii="宋体" w:hAnsi="宋体"/>
                <w:szCs w:val="21"/>
              </w:rPr>
            </w:pPr>
            <w:r>
              <w:rPr>
                <w:rFonts w:hint="eastAsia" w:ascii="宋体" w:hAnsi="宋体"/>
                <w:szCs w:val="21"/>
              </w:rPr>
              <w:t>计费额（万元）</w:t>
            </w:r>
          </w:p>
        </w:tc>
        <w:tc>
          <w:tcPr>
            <w:tcW w:w="2105" w:type="dxa"/>
            <w:noWrap w:val="0"/>
            <w:vAlign w:val="center"/>
          </w:tcPr>
          <w:p w14:paraId="0AC0385C">
            <w:pPr>
              <w:spacing w:line="360" w:lineRule="auto"/>
              <w:jc w:val="center"/>
              <w:rPr>
                <w:rFonts w:ascii="宋体" w:hAnsi="宋体"/>
                <w:szCs w:val="21"/>
              </w:rPr>
            </w:pPr>
            <w:r>
              <w:rPr>
                <w:rFonts w:hint="eastAsia" w:ascii="宋体" w:hAnsi="宋体"/>
                <w:szCs w:val="21"/>
              </w:rPr>
              <w:t>费率（%）</w:t>
            </w:r>
          </w:p>
        </w:tc>
        <w:tc>
          <w:tcPr>
            <w:tcW w:w="3764" w:type="dxa"/>
            <w:noWrap w:val="0"/>
            <w:vAlign w:val="center"/>
          </w:tcPr>
          <w:p w14:paraId="6CA63886">
            <w:pPr>
              <w:spacing w:line="360" w:lineRule="auto"/>
              <w:jc w:val="center"/>
              <w:rPr>
                <w:rFonts w:ascii="宋体" w:hAnsi="宋体"/>
                <w:szCs w:val="21"/>
              </w:rPr>
            </w:pPr>
            <w:r>
              <w:rPr>
                <w:rFonts w:hint="eastAsia" w:ascii="宋体" w:hAnsi="宋体"/>
                <w:szCs w:val="21"/>
              </w:rPr>
              <w:t>计算基础</w:t>
            </w:r>
          </w:p>
        </w:tc>
      </w:tr>
      <w:tr w14:paraId="69FED1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2F0C4CDC">
            <w:pPr>
              <w:spacing w:line="360" w:lineRule="auto"/>
              <w:jc w:val="center"/>
              <w:rPr>
                <w:rFonts w:ascii="宋体" w:hAnsi="宋体"/>
                <w:szCs w:val="21"/>
              </w:rPr>
            </w:pPr>
            <w:r>
              <w:rPr>
                <w:rFonts w:hint="eastAsia" w:ascii="宋体" w:hAnsi="宋体"/>
                <w:szCs w:val="21"/>
              </w:rPr>
              <w:t>1</w:t>
            </w:r>
          </w:p>
        </w:tc>
        <w:tc>
          <w:tcPr>
            <w:tcW w:w="2513" w:type="dxa"/>
            <w:noWrap w:val="0"/>
            <w:vAlign w:val="center"/>
          </w:tcPr>
          <w:p w14:paraId="16494B2A">
            <w:pPr>
              <w:spacing w:line="360" w:lineRule="auto"/>
              <w:jc w:val="center"/>
              <w:rPr>
                <w:rFonts w:ascii="宋体" w:hAnsi="宋体"/>
                <w:szCs w:val="21"/>
              </w:rPr>
            </w:pPr>
            <w:r>
              <w:rPr>
                <w:rFonts w:hint="eastAsia" w:ascii="宋体" w:hAnsi="宋体"/>
                <w:szCs w:val="21"/>
              </w:rPr>
              <w:t>300</w:t>
            </w:r>
          </w:p>
        </w:tc>
        <w:tc>
          <w:tcPr>
            <w:tcW w:w="2105" w:type="dxa"/>
            <w:noWrap w:val="0"/>
            <w:vAlign w:val="center"/>
          </w:tcPr>
          <w:p w14:paraId="5A902D1E">
            <w:pPr>
              <w:spacing w:line="360" w:lineRule="auto"/>
              <w:jc w:val="center"/>
              <w:rPr>
                <w:rFonts w:ascii="宋体" w:hAnsi="宋体"/>
                <w:szCs w:val="21"/>
              </w:rPr>
            </w:pPr>
            <w:r>
              <w:rPr>
                <w:rFonts w:hint="eastAsia" w:ascii="宋体" w:hAnsi="宋体"/>
                <w:szCs w:val="21"/>
              </w:rPr>
              <w:t>0.5</w:t>
            </w:r>
          </w:p>
        </w:tc>
        <w:tc>
          <w:tcPr>
            <w:tcW w:w="3764" w:type="dxa"/>
            <w:vMerge w:val="restart"/>
            <w:noWrap w:val="0"/>
            <w:vAlign w:val="center"/>
          </w:tcPr>
          <w:p w14:paraId="0CFBCE33">
            <w:pPr>
              <w:spacing w:line="360" w:lineRule="auto"/>
              <w:rPr>
                <w:rFonts w:ascii="宋体" w:hAnsi="宋体"/>
                <w:szCs w:val="21"/>
              </w:rPr>
            </w:pPr>
            <w:r>
              <w:rPr>
                <w:rFonts w:hint="eastAsia" w:ascii="宋体" w:hAnsi="宋体"/>
                <w:szCs w:val="21"/>
              </w:rPr>
              <w:t>建筑及安装工程费、永久设备费、建设征地和移民安置补偿费之和。</w:t>
            </w:r>
          </w:p>
        </w:tc>
      </w:tr>
      <w:tr w14:paraId="1646C0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47E8A9A7">
            <w:pPr>
              <w:spacing w:line="360" w:lineRule="auto"/>
              <w:jc w:val="center"/>
              <w:rPr>
                <w:rFonts w:ascii="宋体" w:hAnsi="宋体"/>
                <w:szCs w:val="21"/>
              </w:rPr>
            </w:pPr>
            <w:r>
              <w:rPr>
                <w:rFonts w:hint="eastAsia" w:ascii="宋体" w:hAnsi="宋体"/>
                <w:szCs w:val="21"/>
              </w:rPr>
              <w:t>2</w:t>
            </w:r>
          </w:p>
        </w:tc>
        <w:tc>
          <w:tcPr>
            <w:tcW w:w="2513" w:type="dxa"/>
            <w:noWrap w:val="0"/>
            <w:vAlign w:val="center"/>
          </w:tcPr>
          <w:p w14:paraId="364C603E">
            <w:pPr>
              <w:spacing w:line="360" w:lineRule="auto"/>
              <w:jc w:val="center"/>
              <w:rPr>
                <w:rFonts w:ascii="宋体" w:hAnsi="宋体"/>
                <w:szCs w:val="21"/>
              </w:rPr>
            </w:pPr>
            <w:r>
              <w:rPr>
                <w:rFonts w:hint="eastAsia" w:ascii="宋体" w:hAnsi="宋体"/>
                <w:szCs w:val="21"/>
              </w:rPr>
              <w:t>500</w:t>
            </w:r>
          </w:p>
        </w:tc>
        <w:tc>
          <w:tcPr>
            <w:tcW w:w="2105" w:type="dxa"/>
            <w:noWrap w:val="0"/>
            <w:vAlign w:val="center"/>
          </w:tcPr>
          <w:p w14:paraId="13D01C8F">
            <w:pPr>
              <w:spacing w:line="360" w:lineRule="auto"/>
              <w:jc w:val="center"/>
              <w:rPr>
                <w:rFonts w:ascii="宋体" w:hAnsi="宋体"/>
                <w:szCs w:val="21"/>
              </w:rPr>
            </w:pPr>
            <w:r>
              <w:rPr>
                <w:rFonts w:hint="eastAsia" w:ascii="宋体" w:hAnsi="宋体"/>
                <w:szCs w:val="21"/>
              </w:rPr>
              <w:t>0.42</w:t>
            </w:r>
          </w:p>
        </w:tc>
        <w:tc>
          <w:tcPr>
            <w:tcW w:w="3764" w:type="dxa"/>
            <w:vMerge w:val="continue"/>
            <w:noWrap w:val="0"/>
            <w:vAlign w:val="center"/>
          </w:tcPr>
          <w:p w14:paraId="5EBB1CCC">
            <w:pPr>
              <w:spacing w:line="360" w:lineRule="auto"/>
              <w:rPr>
                <w:rFonts w:ascii="宋体" w:hAnsi="宋体"/>
                <w:szCs w:val="21"/>
              </w:rPr>
            </w:pPr>
          </w:p>
        </w:tc>
      </w:tr>
      <w:tr w14:paraId="523BAF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75AD1BBE">
            <w:pPr>
              <w:spacing w:line="360" w:lineRule="auto"/>
              <w:jc w:val="center"/>
              <w:rPr>
                <w:rFonts w:ascii="宋体" w:hAnsi="宋体"/>
                <w:szCs w:val="21"/>
              </w:rPr>
            </w:pPr>
            <w:r>
              <w:rPr>
                <w:rFonts w:hint="eastAsia" w:ascii="宋体" w:hAnsi="宋体"/>
                <w:szCs w:val="21"/>
              </w:rPr>
              <w:t>3</w:t>
            </w:r>
          </w:p>
        </w:tc>
        <w:tc>
          <w:tcPr>
            <w:tcW w:w="2513" w:type="dxa"/>
            <w:noWrap w:val="0"/>
            <w:vAlign w:val="center"/>
          </w:tcPr>
          <w:p w14:paraId="35536F7B">
            <w:pPr>
              <w:spacing w:line="360" w:lineRule="auto"/>
              <w:jc w:val="center"/>
              <w:rPr>
                <w:rFonts w:ascii="宋体" w:hAnsi="宋体"/>
                <w:szCs w:val="21"/>
              </w:rPr>
            </w:pPr>
            <w:r>
              <w:rPr>
                <w:rFonts w:hint="eastAsia" w:ascii="宋体" w:hAnsi="宋体"/>
                <w:szCs w:val="21"/>
              </w:rPr>
              <w:t>1000</w:t>
            </w:r>
          </w:p>
        </w:tc>
        <w:tc>
          <w:tcPr>
            <w:tcW w:w="2105" w:type="dxa"/>
            <w:noWrap w:val="0"/>
            <w:vAlign w:val="center"/>
          </w:tcPr>
          <w:p w14:paraId="2EAE8277">
            <w:pPr>
              <w:spacing w:line="360" w:lineRule="auto"/>
              <w:jc w:val="center"/>
              <w:rPr>
                <w:rFonts w:ascii="宋体" w:hAnsi="宋体"/>
                <w:szCs w:val="21"/>
              </w:rPr>
            </w:pPr>
            <w:r>
              <w:rPr>
                <w:rFonts w:hint="eastAsia" w:ascii="宋体" w:hAnsi="宋体"/>
                <w:szCs w:val="21"/>
              </w:rPr>
              <w:t>0.35</w:t>
            </w:r>
          </w:p>
        </w:tc>
        <w:tc>
          <w:tcPr>
            <w:tcW w:w="3764" w:type="dxa"/>
            <w:vMerge w:val="continue"/>
            <w:noWrap w:val="0"/>
            <w:vAlign w:val="center"/>
          </w:tcPr>
          <w:p w14:paraId="39CBAFD5">
            <w:pPr>
              <w:spacing w:line="360" w:lineRule="auto"/>
              <w:rPr>
                <w:rFonts w:ascii="宋体" w:hAnsi="宋体"/>
                <w:szCs w:val="21"/>
              </w:rPr>
            </w:pPr>
          </w:p>
        </w:tc>
      </w:tr>
      <w:tr w14:paraId="20CFB3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5C9A6500">
            <w:pPr>
              <w:spacing w:line="360" w:lineRule="auto"/>
              <w:jc w:val="center"/>
              <w:rPr>
                <w:rFonts w:ascii="宋体" w:hAnsi="宋体"/>
                <w:szCs w:val="21"/>
              </w:rPr>
            </w:pPr>
            <w:r>
              <w:rPr>
                <w:rFonts w:hint="eastAsia" w:ascii="宋体" w:hAnsi="宋体"/>
                <w:szCs w:val="21"/>
              </w:rPr>
              <w:t>4</w:t>
            </w:r>
          </w:p>
        </w:tc>
        <w:tc>
          <w:tcPr>
            <w:tcW w:w="2513" w:type="dxa"/>
            <w:noWrap w:val="0"/>
            <w:vAlign w:val="center"/>
          </w:tcPr>
          <w:p w14:paraId="1DCD8C82">
            <w:pPr>
              <w:spacing w:line="360" w:lineRule="auto"/>
              <w:jc w:val="center"/>
              <w:rPr>
                <w:rFonts w:ascii="宋体" w:hAnsi="宋体"/>
                <w:szCs w:val="21"/>
              </w:rPr>
            </w:pPr>
            <w:r>
              <w:rPr>
                <w:rFonts w:hint="eastAsia" w:ascii="宋体" w:hAnsi="宋体"/>
                <w:szCs w:val="21"/>
              </w:rPr>
              <w:t>3000</w:t>
            </w:r>
          </w:p>
        </w:tc>
        <w:tc>
          <w:tcPr>
            <w:tcW w:w="2105" w:type="dxa"/>
            <w:noWrap w:val="0"/>
            <w:vAlign w:val="center"/>
          </w:tcPr>
          <w:p w14:paraId="64B3E70B">
            <w:pPr>
              <w:spacing w:line="360" w:lineRule="auto"/>
              <w:jc w:val="center"/>
              <w:rPr>
                <w:rFonts w:ascii="宋体" w:hAnsi="宋体"/>
                <w:szCs w:val="21"/>
              </w:rPr>
            </w:pPr>
            <w:r>
              <w:rPr>
                <w:rFonts w:hint="eastAsia" w:ascii="宋体" w:hAnsi="宋体"/>
                <w:szCs w:val="21"/>
              </w:rPr>
              <w:t>0.3</w:t>
            </w:r>
          </w:p>
        </w:tc>
        <w:tc>
          <w:tcPr>
            <w:tcW w:w="3764" w:type="dxa"/>
            <w:vMerge w:val="continue"/>
            <w:noWrap w:val="0"/>
            <w:vAlign w:val="center"/>
          </w:tcPr>
          <w:p w14:paraId="5C724754">
            <w:pPr>
              <w:spacing w:line="360" w:lineRule="auto"/>
              <w:rPr>
                <w:rFonts w:ascii="宋体" w:hAnsi="宋体"/>
                <w:szCs w:val="21"/>
              </w:rPr>
            </w:pPr>
          </w:p>
        </w:tc>
      </w:tr>
      <w:tr w14:paraId="5FE7AE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474310E2">
            <w:pPr>
              <w:spacing w:line="360" w:lineRule="auto"/>
              <w:jc w:val="center"/>
              <w:rPr>
                <w:rFonts w:ascii="宋体" w:hAnsi="宋体"/>
                <w:szCs w:val="21"/>
              </w:rPr>
            </w:pPr>
            <w:r>
              <w:rPr>
                <w:rFonts w:hint="eastAsia" w:ascii="宋体" w:hAnsi="宋体"/>
                <w:szCs w:val="21"/>
              </w:rPr>
              <w:t>5</w:t>
            </w:r>
          </w:p>
        </w:tc>
        <w:tc>
          <w:tcPr>
            <w:tcW w:w="2513" w:type="dxa"/>
            <w:noWrap w:val="0"/>
            <w:vAlign w:val="center"/>
          </w:tcPr>
          <w:p w14:paraId="7ED8BABA">
            <w:pPr>
              <w:spacing w:line="360" w:lineRule="auto"/>
              <w:jc w:val="center"/>
              <w:rPr>
                <w:rFonts w:ascii="宋体" w:hAnsi="宋体"/>
                <w:szCs w:val="21"/>
              </w:rPr>
            </w:pPr>
            <w:r>
              <w:rPr>
                <w:rFonts w:hint="eastAsia" w:ascii="宋体" w:hAnsi="宋体"/>
                <w:szCs w:val="21"/>
              </w:rPr>
              <w:t>5000</w:t>
            </w:r>
          </w:p>
        </w:tc>
        <w:tc>
          <w:tcPr>
            <w:tcW w:w="2105" w:type="dxa"/>
            <w:noWrap w:val="0"/>
            <w:vAlign w:val="center"/>
          </w:tcPr>
          <w:p w14:paraId="29A1DE5A">
            <w:pPr>
              <w:spacing w:line="360" w:lineRule="auto"/>
              <w:jc w:val="center"/>
              <w:rPr>
                <w:rFonts w:ascii="宋体" w:hAnsi="宋体"/>
                <w:szCs w:val="21"/>
              </w:rPr>
            </w:pPr>
            <w:r>
              <w:rPr>
                <w:rFonts w:hint="eastAsia" w:ascii="宋体" w:hAnsi="宋体"/>
                <w:szCs w:val="21"/>
              </w:rPr>
              <w:t>0.2</w:t>
            </w:r>
          </w:p>
        </w:tc>
        <w:tc>
          <w:tcPr>
            <w:tcW w:w="3764" w:type="dxa"/>
            <w:vMerge w:val="continue"/>
            <w:noWrap w:val="0"/>
            <w:vAlign w:val="center"/>
          </w:tcPr>
          <w:p w14:paraId="338E8F96">
            <w:pPr>
              <w:spacing w:line="360" w:lineRule="auto"/>
              <w:rPr>
                <w:rFonts w:ascii="宋体" w:hAnsi="宋体"/>
                <w:szCs w:val="21"/>
              </w:rPr>
            </w:pPr>
          </w:p>
        </w:tc>
      </w:tr>
      <w:tr w14:paraId="29DDAA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227C2958">
            <w:pPr>
              <w:spacing w:line="360" w:lineRule="auto"/>
              <w:jc w:val="center"/>
              <w:rPr>
                <w:rFonts w:ascii="宋体" w:hAnsi="宋体"/>
                <w:szCs w:val="21"/>
              </w:rPr>
            </w:pPr>
            <w:r>
              <w:rPr>
                <w:rFonts w:hint="eastAsia" w:ascii="宋体" w:hAnsi="宋体"/>
                <w:szCs w:val="21"/>
              </w:rPr>
              <w:t>6</w:t>
            </w:r>
          </w:p>
        </w:tc>
        <w:tc>
          <w:tcPr>
            <w:tcW w:w="2513" w:type="dxa"/>
            <w:noWrap w:val="0"/>
            <w:vAlign w:val="center"/>
          </w:tcPr>
          <w:p w14:paraId="282377D5">
            <w:pPr>
              <w:spacing w:line="360" w:lineRule="auto"/>
              <w:jc w:val="center"/>
              <w:rPr>
                <w:rFonts w:ascii="宋体" w:hAnsi="宋体"/>
                <w:szCs w:val="21"/>
              </w:rPr>
            </w:pPr>
            <w:r>
              <w:rPr>
                <w:rFonts w:hint="eastAsia" w:ascii="宋体" w:hAnsi="宋体"/>
                <w:szCs w:val="21"/>
              </w:rPr>
              <w:t>10000</w:t>
            </w:r>
          </w:p>
        </w:tc>
        <w:tc>
          <w:tcPr>
            <w:tcW w:w="2105" w:type="dxa"/>
            <w:noWrap w:val="0"/>
            <w:vAlign w:val="center"/>
          </w:tcPr>
          <w:p w14:paraId="316995BE">
            <w:pPr>
              <w:spacing w:line="360" w:lineRule="auto"/>
              <w:jc w:val="center"/>
              <w:rPr>
                <w:rFonts w:ascii="宋体" w:hAnsi="宋体"/>
                <w:szCs w:val="21"/>
              </w:rPr>
            </w:pPr>
            <w:r>
              <w:rPr>
                <w:rFonts w:hint="eastAsia" w:ascii="宋体" w:hAnsi="宋体"/>
                <w:szCs w:val="21"/>
              </w:rPr>
              <w:t>0.15</w:t>
            </w:r>
          </w:p>
        </w:tc>
        <w:tc>
          <w:tcPr>
            <w:tcW w:w="3764" w:type="dxa"/>
            <w:vMerge w:val="continue"/>
            <w:noWrap w:val="0"/>
            <w:vAlign w:val="center"/>
          </w:tcPr>
          <w:p w14:paraId="569D6D80">
            <w:pPr>
              <w:spacing w:line="360" w:lineRule="auto"/>
              <w:rPr>
                <w:rFonts w:ascii="宋体" w:hAnsi="宋体"/>
                <w:szCs w:val="21"/>
              </w:rPr>
            </w:pPr>
          </w:p>
        </w:tc>
      </w:tr>
      <w:tr w14:paraId="7510E2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03" w:type="dxa"/>
            <w:noWrap w:val="0"/>
            <w:vAlign w:val="center"/>
          </w:tcPr>
          <w:p w14:paraId="3012EB58">
            <w:pPr>
              <w:spacing w:line="360" w:lineRule="auto"/>
              <w:jc w:val="center"/>
              <w:rPr>
                <w:rFonts w:ascii="宋体" w:hAnsi="宋体"/>
                <w:szCs w:val="21"/>
              </w:rPr>
            </w:pPr>
            <w:r>
              <w:rPr>
                <w:rFonts w:hint="eastAsia" w:ascii="宋体" w:hAnsi="宋体"/>
                <w:szCs w:val="21"/>
              </w:rPr>
              <w:t>7</w:t>
            </w:r>
          </w:p>
        </w:tc>
        <w:tc>
          <w:tcPr>
            <w:tcW w:w="2513" w:type="dxa"/>
            <w:noWrap w:val="0"/>
            <w:vAlign w:val="center"/>
          </w:tcPr>
          <w:p w14:paraId="3B90BEE8">
            <w:pPr>
              <w:spacing w:line="360" w:lineRule="auto"/>
              <w:jc w:val="center"/>
              <w:rPr>
                <w:rFonts w:ascii="宋体" w:hAnsi="宋体"/>
                <w:szCs w:val="21"/>
              </w:rPr>
            </w:pPr>
            <w:r>
              <w:rPr>
                <w:rFonts w:hint="eastAsia" w:ascii="宋体" w:hAnsi="宋体"/>
                <w:szCs w:val="21"/>
              </w:rPr>
              <w:t>20000</w:t>
            </w:r>
          </w:p>
        </w:tc>
        <w:tc>
          <w:tcPr>
            <w:tcW w:w="2105" w:type="dxa"/>
            <w:noWrap w:val="0"/>
            <w:vAlign w:val="center"/>
          </w:tcPr>
          <w:p w14:paraId="4A3DB3AB">
            <w:pPr>
              <w:spacing w:line="360" w:lineRule="auto"/>
              <w:jc w:val="center"/>
              <w:rPr>
                <w:rFonts w:ascii="宋体" w:hAnsi="宋体"/>
                <w:szCs w:val="21"/>
              </w:rPr>
            </w:pPr>
            <w:r>
              <w:rPr>
                <w:rFonts w:hint="eastAsia" w:ascii="宋体" w:hAnsi="宋体"/>
                <w:szCs w:val="21"/>
              </w:rPr>
              <w:t>0.1</w:t>
            </w:r>
          </w:p>
        </w:tc>
        <w:tc>
          <w:tcPr>
            <w:tcW w:w="3764" w:type="dxa"/>
            <w:vMerge w:val="continue"/>
            <w:noWrap w:val="0"/>
            <w:vAlign w:val="center"/>
          </w:tcPr>
          <w:p w14:paraId="6036C3E0">
            <w:pPr>
              <w:spacing w:line="360" w:lineRule="auto"/>
              <w:rPr>
                <w:rFonts w:ascii="宋体" w:hAnsi="宋体"/>
                <w:szCs w:val="21"/>
              </w:rPr>
            </w:pPr>
          </w:p>
        </w:tc>
      </w:tr>
    </w:tbl>
    <w:p w14:paraId="033BAE5A">
      <w:pPr>
        <w:adjustRightInd w:val="0"/>
        <w:snapToGrid w:val="0"/>
        <w:spacing w:line="360" w:lineRule="auto"/>
        <w:ind w:left="420" w:hanging="420" w:hangingChars="200"/>
        <w:rPr>
          <w:rFonts w:ascii="宋体" w:hAnsi="宋体"/>
          <w:szCs w:val="21"/>
        </w:rPr>
      </w:pPr>
      <w:r>
        <w:rPr>
          <w:rFonts w:hint="eastAsia" w:ascii="宋体" w:hAnsi="宋体"/>
          <w:szCs w:val="21"/>
        </w:rPr>
        <w:t>注：①计费额是指广西壮族自治区水利技术中心出具的审查意见的项目投资额；设计变更报告以及调整设计概算的计费额是指涉及设计变更或调整设计概算部分的投资额。②计费额小于300万元的按0.5%计算，计费额在300万～20000万元的按表中费率内插计算</w:t>
      </w:r>
      <w:r>
        <w:rPr>
          <w:rFonts w:hint="eastAsia" w:ascii="宋体" w:hAnsi="宋体"/>
          <w:bCs/>
          <w:szCs w:val="21"/>
        </w:rPr>
        <w:t>。</w:t>
      </w:r>
    </w:p>
    <w:p w14:paraId="7B2DB0FB">
      <w:pPr>
        <w:snapToGrid w:val="0"/>
        <w:spacing w:line="360" w:lineRule="auto"/>
        <w:ind w:firstLine="420" w:firstLineChars="200"/>
        <w:textAlignment w:val="top"/>
        <w:rPr>
          <w:rFonts w:ascii="宋体" w:hAnsi="宋体"/>
          <w:szCs w:val="21"/>
        </w:rPr>
      </w:pPr>
      <w:r>
        <w:rPr>
          <w:rFonts w:hint="eastAsia" w:ascii="宋体" w:hAnsi="宋体"/>
          <w:szCs w:val="21"/>
        </w:rPr>
        <w:t>（2）工程复杂程度调整系数： 是对评审审查项目的复杂程度和评审审查工作量差异进行调整的系数，工程复杂程度分一般、较复杂和复杂三个等级，其调整系数分别为：一般0.8，较复杂1.0，复杂1.2。</w:t>
      </w:r>
    </w:p>
    <w:p w14:paraId="60600641">
      <w:pPr>
        <w:snapToGrid w:val="0"/>
        <w:spacing w:line="360" w:lineRule="auto"/>
        <w:ind w:firstLine="420" w:firstLineChars="200"/>
        <w:textAlignment w:val="top"/>
        <w:rPr>
          <w:rFonts w:ascii="宋体" w:hAnsi="宋体"/>
          <w:szCs w:val="21"/>
        </w:rPr>
      </w:pPr>
      <w:r>
        <w:rPr>
          <w:rFonts w:hint="eastAsia" w:ascii="宋体" w:hAnsi="宋体"/>
          <w:szCs w:val="21"/>
        </w:rPr>
        <w:t>（3）投标下浮系数</w:t>
      </w:r>
      <w:r>
        <w:rPr>
          <w:rFonts w:hint="eastAsia" w:ascii="宋体" w:hAnsi="宋体"/>
          <w:szCs w:val="21"/>
          <w:lang w:bidi="ar"/>
        </w:rPr>
        <w:t>：投标人根据企业自身情况进行投标下浮报价。</w:t>
      </w:r>
    </w:p>
    <w:p w14:paraId="6678A488">
      <w:pPr>
        <w:snapToGrid w:val="0"/>
        <w:spacing w:line="360" w:lineRule="auto"/>
        <w:ind w:firstLine="422" w:firstLineChars="200"/>
        <w:textAlignment w:val="top"/>
        <w:rPr>
          <w:rFonts w:ascii="宋体" w:hAnsi="宋体"/>
          <w:b/>
          <w:bCs/>
          <w:szCs w:val="21"/>
        </w:rPr>
      </w:pPr>
      <w:r>
        <w:rPr>
          <w:rFonts w:hint="eastAsia" w:ascii="宋体" w:hAnsi="宋体"/>
          <w:b/>
          <w:bCs/>
          <w:szCs w:val="21"/>
        </w:rPr>
        <w:t>二、规划及专题类项目</w:t>
      </w:r>
    </w:p>
    <w:p w14:paraId="72A70600">
      <w:pPr>
        <w:snapToGrid w:val="0"/>
        <w:spacing w:line="360" w:lineRule="auto"/>
        <w:ind w:firstLine="420" w:firstLineChars="200"/>
        <w:textAlignment w:val="top"/>
        <w:rPr>
          <w:rFonts w:ascii="宋体" w:hAnsi="宋体"/>
          <w:szCs w:val="21"/>
        </w:rPr>
      </w:pPr>
      <w:r>
        <w:rPr>
          <w:rFonts w:hint="eastAsia" w:ascii="宋体" w:hAnsi="宋体"/>
          <w:szCs w:val="21"/>
        </w:rPr>
        <w:t>1. 工程规模小、难度及审查工作量不大的规划及专题类项目</w:t>
      </w:r>
    </w:p>
    <w:p w14:paraId="102E2E27">
      <w:pPr>
        <w:snapToGrid w:val="0"/>
        <w:spacing w:line="360" w:lineRule="auto"/>
        <w:ind w:firstLine="420" w:firstLineChars="200"/>
        <w:textAlignment w:val="top"/>
        <w:rPr>
          <w:rFonts w:ascii="宋体" w:hAnsi="宋体"/>
          <w:szCs w:val="21"/>
        </w:rPr>
      </w:pPr>
      <w:r>
        <w:rPr>
          <w:rFonts w:hint="eastAsia" w:ascii="宋体" w:hAnsi="宋体"/>
          <w:szCs w:val="21"/>
        </w:rPr>
        <w:t>项目技术审查评估咨询服务费=咨询费基本额×工程复杂程度调整系数×（1-投标下浮系数）。</w:t>
      </w:r>
    </w:p>
    <w:p w14:paraId="0935556F">
      <w:pPr>
        <w:snapToGrid w:val="0"/>
        <w:spacing w:line="360" w:lineRule="auto"/>
        <w:ind w:firstLine="420" w:firstLineChars="200"/>
        <w:textAlignment w:val="top"/>
        <w:rPr>
          <w:rFonts w:ascii="宋体" w:hAnsi="宋体"/>
          <w:szCs w:val="21"/>
        </w:rPr>
      </w:pPr>
      <w:r>
        <w:rPr>
          <w:rFonts w:hint="eastAsia" w:ascii="宋体" w:hAnsi="宋体"/>
          <w:szCs w:val="21"/>
        </w:rPr>
        <w:t>（1）咨询费基本额计算参考表                                      单位：万元</w:t>
      </w:r>
    </w:p>
    <w:tbl>
      <w:tblPr>
        <w:tblStyle w:val="9"/>
        <w:tblW w:w="91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767"/>
        <w:gridCol w:w="1697"/>
        <w:gridCol w:w="2737"/>
        <w:gridCol w:w="1984"/>
      </w:tblGrid>
      <w:tr w14:paraId="6517D8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2767" w:type="dxa"/>
            <w:noWrap w:val="0"/>
            <w:vAlign w:val="center"/>
          </w:tcPr>
          <w:p w14:paraId="602DC0EC">
            <w:pPr>
              <w:spacing w:line="360" w:lineRule="auto"/>
              <w:jc w:val="center"/>
              <w:rPr>
                <w:rFonts w:ascii="宋体" w:hAnsi="宋体"/>
                <w:szCs w:val="21"/>
              </w:rPr>
            </w:pPr>
            <w:r>
              <w:rPr>
                <w:rFonts w:hint="eastAsia" w:ascii="宋体" w:hAnsi="宋体"/>
                <w:szCs w:val="21"/>
              </w:rPr>
              <w:t>项目类别</w:t>
            </w:r>
          </w:p>
        </w:tc>
        <w:tc>
          <w:tcPr>
            <w:tcW w:w="1697" w:type="dxa"/>
            <w:noWrap w:val="0"/>
            <w:vAlign w:val="center"/>
          </w:tcPr>
          <w:p w14:paraId="24CE13A0">
            <w:pPr>
              <w:spacing w:line="360" w:lineRule="auto"/>
              <w:jc w:val="center"/>
              <w:rPr>
                <w:rFonts w:ascii="宋体" w:hAnsi="宋体"/>
                <w:szCs w:val="21"/>
              </w:rPr>
            </w:pPr>
            <w:r>
              <w:rPr>
                <w:rFonts w:hint="eastAsia" w:ascii="宋体" w:hAnsi="宋体"/>
                <w:szCs w:val="21"/>
              </w:rPr>
              <w:t>咨询费基本额</w:t>
            </w:r>
          </w:p>
        </w:tc>
        <w:tc>
          <w:tcPr>
            <w:tcW w:w="2737" w:type="dxa"/>
            <w:noWrap w:val="0"/>
            <w:vAlign w:val="center"/>
          </w:tcPr>
          <w:p w14:paraId="42AA99E6">
            <w:pPr>
              <w:spacing w:line="360" w:lineRule="auto"/>
              <w:jc w:val="center"/>
              <w:rPr>
                <w:rFonts w:ascii="宋体" w:hAnsi="宋体"/>
                <w:szCs w:val="21"/>
              </w:rPr>
            </w:pPr>
            <w:r>
              <w:rPr>
                <w:rFonts w:hint="eastAsia" w:ascii="宋体" w:hAnsi="宋体"/>
                <w:szCs w:val="21"/>
              </w:rPr>
              <w:t>项目类别</w:t>
            </w:r>
          </w:p>
        </w:tc>
        <w:tc>
          <w:tcPr>
            <w:tcW w:w="1984" w:type="dxa"/>
            <w:noWrap w:val="0"/>
            <w:vAlign w:val="center"/>
          </w:tcPr>
          <w:p w14:paraId="15431FF9">
            <w:pPr>
              <w:spacing w:line="360" w:lineRule="auto"/>
              <w:jc w:val="center"/>
              <w:rPr>
                <w:rFonts w:ascii="宋体" w:hAnsi="宋体"/>
                <w:szCs w:val="21"/>
              </w:rPr>
            </w:pPr>
            <w:r>
              <w:rPr>
                <w:rFonts w:hint="eastAsia" w:ascii="宋体" w:hAnsi="宋体"/>
                <w:szCs w:val="21"/>
              </w:rPr>
              <w:t>咨询费基本额</w:t>
            </w:r>
          </w:p>
        </w:tc>
      </w:tr>
      <w:tr w14:paraId="0A0D83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67" w:type="dxa"/>
            <w:noWrap w:val="0"/>
            <w:vAlign w:val="center"/>
          </w:tcPr>
          <w:p w14:paraId="3C0380C8">
            <w:pPr>
              <w:spacing w:line="360" w:lineRule="auto"/>
              <w:jc w:val="center"/>
              <w:rPr>
                <w:rFonts w:ascii="宋体" w:hAnsi="宋体"/>
                <w:szCs w:val="21"/>
              </w:rPr>
            </w:pPr>
            <w:r>
              <w:rPr>
                <w:rFonts w:hint="eastAsia" w:ascii="宋体" w:hAnsi="宋体"/>
                <w:szCs w:val="21"/>
              </w:rPr>
              <w:t>水资源论证</w:t>
            </w:r>
          </w:p>
        </w:tc>
        <w:tc>
          <w:tcPr>
            <w:tcW w:w="1697" w:type="dxa"/>
            <w:noWrap w:val="0"/>
            <w:vAlign w:val="center"/>
          </w:tcPr>
          <w:p w14:paraId="2664E470">
            <w:pPr>
              <w:spacing w:line="360" w:lineRule="auto"/>
              <w:jc w:val="center"/>
              <w:rPr>
                <w:rFonts w:ascii="宋体" w:hAnsi="宋体"/>
                <w:szCs w:val="21"/>
              </w:rPr>
            </w:pPr>
            <w:r>
              <w:rPr>
                <w:rFonts w:hint="eastAsia" w:ascii="宋体" w:hAnsi="宋体"/>
                <w:szCs w:val="21"/>
              </w:rPr>
              <w:t>2.52</w:t>
            </w:r>
          </w:p>
        </w:tc>
        <w:tc>
          <w:tcPr>
            <w:tcW w:w="2737" w:type="dxa"/>
            <w:noWrap w:val="0"/>
            <w:vAlign w:val="center"/>
          </w:tcPr>
          <w:p w14:paraId="7BC687CF">
            <w:pPr>
              <w:spacing w:line="360" w:lineRule="auto"/>
              <w:jc w:val="center"/>
              <w:rPr>
                <w:rFonts w:ascii="宋体" w:hAnsi="宋体"/>
                <w:szCs w:val="21"/>
              </w:rPr>
            </w:pPr>
            <w:r>
              <w:rPr>
                <w:rFonts w:hint="eastAsia" w:ascii="宋体" w:hAnsi="宋体"/>
                <w:szCs w:val="21"/>
              </w:rPr>
              <w:t>工程规划</w:t>
            </w:r>
          </w:p>
        </w:tc>
        <w:tc>
          <w:tcPr>
            <w:tcW w:w="1984" w:type="dxa"/>
            <w:noWrap w:val="0"/>
            <w:vAlign w:val="center"/>
          </w:tcPr>
          <w:p w14:paraId="140EDFB5">
            <w:pPr>
              <w:spacing w:line="360" w:lineRule="auto"/>
              <w:jc w:val="center"/>
              <w:rPr>
                <w:rFonts w:ascii="宋体" w:hAnsi="宋体"/>
                <w:szCs w:val="21"/>
              </w:rPr>
            </w:pPr>
            <w:r>
              <w:rPr>
                <w:rFonts w:hint="eastAsia" w:ascii="宋体" w:hAnsi="宋体"/>
                <w:szCs w:val="21"/>
              </w:rPr>
              <w:t>3.92</w:t>
            </w:r>
          </w:p>
        </w:tc>
      </w:tr>
      <w:tr w14:paraId="15472C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67" w:type="dxa"/>
            <w:noWrap w:val="0"/>
            <w:vAlign w:val="center"/>
          </w:tcPr>
          <w:p w14:paraId="481F82F0">
            <w:pPr>
              <w:spacing w:line="360" w:lineRule="auto"/>
              <w:jc w:val="center"/>
              <w:rPr>
                <w:rFonts w:ascii="宋体" w:hAnsi="宋体"/>
                <w:szCs w:val="21"/>
              </w:rPr>
            </w:pPr>
            <w:r>
              <w:rPr>
                <w:rFonts w:hint="eastAsia" w:ascii="宋体" w:hAnsi="宋体"/>
                <w:szCs w:val="21"/>
              </w:rPr>
              <w:t>水土保持方案</w:t>
            </w:r>
          </w:p>
        </w:tc>
        <w:tc>
          <w:tcPr>
            <w:tcW w:w="1697" w:type="dxa"/>
            <w:noWrap w:val="0"/>
            <w:vAlign w:val="center"/>
          </w:tcPr>
          <w:p w14:paraId="769500DF">
            <w:pPr>
              <w:spacing w:line="360" w:lineRule="auto"/>
              <w:jc w:val="center"/>
              <w:rPr>
                <w:rFonts w:ascii="宋体" w:hAnsi="宋体"/>
                <w:szCs w:val="21"/>
              </w:rPr>
            </w:pPr>
            <w:r>
              <w:rPr>
                <w:rFonts w:hint="eastAsia" w:ascii="宋体" w:hAnsi="宋体"/>
                <w:szCs w:val="21"/>
              </w:rPr>
              <w:t>2.52</w:t>
            </w:r>
          </w:p>
        </w:tc>
        <w:tc>
          <w:tcPr>
            <w:tcW w:w="2737" w:type="dxa"/>
            <w:noWrap w:val="0"/>
            <w:vAlign w:val="center"/>
          </w:tcPr>
          <w:p w14:paraId="3BF67A45">
            <w:pPr>
              <w:spacing w:line="360" w:lineRule="auto"/>
              <w:jc w:val="center"/>
              <w:rPr>
                <w:rFonts w:ascii="宋体" w:hAnsi="宋体"/>
                <w:szCs w:val="21"/>
              </w:rPr>
            </w:pPr>
            <w:r>
              <w:rPr>
                <w:rFonts w:hint="eastAsia" w:ascii="宋体" w:hAnsi="宋体"/>
                <w:szCs w:val="21"/>
              </w:rPr>
              <w:t>非工程类规划</w:t>
            </w:r>
          </w:p>
        </w:tc>
        <w:tc>
          <w:tcPr>
            <w:tcW w:w="1984" w:type="dxa"/>
            <w:noWrap w:val="0"/>
            <w:vAlign w:val="center"/>
          </w:tcPr>
          <w:p w14:paraId="67687E02">
            <w:pPr>
              <w:spacing w:line="360" w:lineRule="auto"/>
              <w:jc w:val="center"/>
              <w:rPr>
                <w:rFonts w:ascii="宋体" w:hAnsi="宋体"/>
                <w:szCs w:val="21"/>
              </w:rPr>
            </w:pPr>
            <w:r>
              <w:rPr>
                <w:rFonts w:hint="eastAsia" w:ascii="宋体" w:hAnsi="宋体"/>
                <w:szCs w:val="21"/>
              </w:rPr>
              <w:t>2.66</w:t>
            </w:r>
          </w:p>
        </w:tc>
      </w:tr>
      <w:tr w14:paraId="784A1C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67" w:type="dxa"/>
            <w:noWrap w:val="0"/>
            <w:vAlign w:val="center"/>
          </w:tcPr>
          <w:p w14:paraId="38721F30">
            <w:pPr>
              <w:spacing w:line="360" w:lineRule="auto"/>
              <w:jc w:val="center"/>
              <w:rPr>
                <w:rFonts w:ascii="宋体" w:hAnsi="宋体"/>
                <w:szCs w:val="21"/>
              </w:rPr>
            </w:pPr>
            <w:r>
              <w:rPr>
                <w:rFonts w:hint="eastAsia" w:ascii="宋体" w:hAnsi="宋体"/>
                <w:szCs w:val="21"/>
              </w:rPr>
              <w:t>防洪评价</w:t>
            </w:r>
          </w:p>
        </w:tc>
        <w:tc>
          <w:tcPr>
            <w:tcW w:w="1697" w:type="dxa"/>
            <w:noWrap w:val="0"/>
            <w:vAlign w:val="center"/>
          </w:tcPr>
          <w:p w14:paraId="1963C6C3">
            <w:pPr>
              <w:spacing w:line="360" w:lineRule="auto"/>
              <w:jc w:val="center"/>
              <w:rPr>
                <w:rFonts w:ascii="宋体" w:hAnsi="宋体"/>
                <w:szCs w:val="21"/>
              </w:rPr>
            </w:pPr>
            <w:r>
              <w:rPr>
                <w:rFonts w:hint="eastAsia" w:ascii="宋体" w:hAnsi="宋体"/>
                <w:szCs w:val="21"/>
              </w:rPr>
              <w:t>2.52</w:t>
            </w:r>
          </w:p>
        </w:tc>
        <w:tc>
          <w:tcPr>
            <w:tcW w:w="2737" w:type="dxa"/>
            <w:noWrap w:val="0"/>
            <w:vAlign w:val="center"/>
          </w:tcPr>
          <w:p w14:paraId="1BB4E0F8">
            <w:pPr>
              <w:spacing w:line="360" w:lineRule="auto"/>
              <w:jc w:val="center"/>
              <w:rPr>
                <w:rFonts w:ascii="宋体" w:hAnsi="宋体"/>
                <w:szCs w:val="21"/>
              </w:rPr>
            </w:pPr>
            <w:r>
              <w:rPr>
                <w:rFonts w:hint="eastAsia" w:ascii="宋体" w:hAnsi="宋体"/>
                <w:szCs w:val="21"/>
              </w:rPr>
              <w:t>前期工作任务书</w:t>
            </w:r>
          </w:p>
        </w:tc>
        <w:tc>
          <w:tcPr>
            <w:tcW w:w="1984" w:type="dxa"/>
            <w:noWrap w:val="0"/>
            <w:vAlign w:val="center"/>
          </w:tcPr>
          <w:p w14:paraId="0B987AA9">
            <w:pPr>
              <w:spacing w:line="360" w:lineRule="auto"/>
              <w:jc w:val="center"/>
              <w:rPr>
                <w:rFonts w:ascii="宋体" w:hAnsi="宋体"/>
                <w:szCs w:val="21"/>
              </w:rPr>
            </w:pPr>
            <w:r>
              <w:rPr>
                <w:rFonts w:hint="eastAsia" w:ascii="宋体" w:hAnsi="宋体"/>
                <w:szCs w:val="21"/>
              </w:rPr>
              <w:t>0.56</w:t>
            </w:r>
          </w:p>
        </w:tc>
      </w:tr>
      <w:tr w14:paraId="3F0DA0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67" w:type="dxa"/>
            <w:noWrap w:val="0"/>
            <w:vAlign w:val="center"/>
          </w:tcPr>
          <w:p w14:paraId="2BCE5207">
            <w:pPr>
              <w:spacing w:line="360" w:lineRule="auto"/>
              <w:jc w:val="center"/>
              <w:rPr>
                <w:rFonts w:ascii="宋体" w:hAnsi="宋体"/>
                <w:szCs w:val="21"/>
              </w:rPr>
            </w:pPr>
            <w:r>
              <w:rPr>
                <w:rFonts w:hint="eastAsia" w:ascii="宋体" w:hAnsi="宋体"/>
                <w:szCs w:val="21"/>
              </w:rPr>
              <w:t>水库调度规程</w:t>
            </w:r>
          </w:p>
        </w:tc>
        <w:tc>
          <w:tcPr>
            <w:tcW w:w="1697" w:type="dxa"/>
            <w:noWrap w:val="0"/>
            <w:vAlign w:val="center"/>
          </w:tcPr>
          <w:p w14:paraId="1CB588D8">
            <w:pPr>
              <w:spacing w:line="360" w:lineRule="auto"/>
              <w:jc w:val="center"/>
              <w:rPr>
                <w:rFonts w:ascii="宋体" w:hAnsi="宋体"/>
                <w:szCs w:val="21"/>
              </w:rPr>
            </w:pPr>
            <w:r>
              <w:rPr>
                <w:rFonts w:hint="eastAsia" w:ascii="宋体" w:hAnsi="宋体"/>
                <w:szCs w:val="21"/>
              </w:rPr>
              <w:t>2.52</w:t>
            </w:r>
          </w:p>
        </w:tc>
        <w:tc>
          <w:tcPr>
            <w:tcW w:w="2737" w:type="dxa"/>
            <w:noWrap w:val="0"/>
            <w:vAlign w:val="center"/>
          </w:tcPr>
          <w:p w14:paraId="7A2C4041">
            <w:pPr>
              <w:spacing w:line="360" w:lineRule="auto"/>
              <w:jc w:val="center"/>
              <w:rPr>
                <w:rFonts w:ascii="宋体" w:hAnsi="宋体"/>
                <w:szCs w:val="21"/>
              </w:rPr>
            </w:pPr>
            <w:r>
              <w:rPr>
                <w:rFonts w:hint="eastAsia" w:ascii="宋体" w:hAnsi="宋体"/>
                <w:szCs w:val="21"/>
              </w:rPr>
              <w:t>水库大坝安全评价</w:t>
            </w:r>
          </w:p>
        </w:tc>
        <w:tc>
          <w:tcPr>
            <w:tcW w:w="1984" w:type="dxa"/>
            <w:noWrap w:val="0"/>
            <w:vAlign w:val="center"/>
          </w:tcPr>
          <w:p w14:paraId="6D45F11F">
            <w:pPr>
              <w:spacing w:line="360" w:lineRule="auto"/>
              <w:jc w:val="center"/>
              <w:rPr>
                <w:rFonts w:ascii="宋体" w:hAnsi="宋体"/>
                <w:szCs w:val="21"/>
              </w:rPr>
            </w:pPr>
            <w:r>
              <w:rPr>
                <w:rFonts w:hint="eastAsia" w:ascii="宋体" w:hAnsi="宋体"/>
                <w:szCs w:val="21"/>
              </w:rPr>
              <w:t>3.08</w:t>
            </w:r>
          </w:p>
        </w:tc>
      </w:tr>
      <w:tr w14:paraId="0DF0A1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767" w:type="dxa"/>
            <w:noWrap w:val="0"/>
            <w:vAlign w:val="center"/>
          </w:tcPr>
          <w:p w14:paraId="6BF7D796">
            <w:pPr>
              <w:spacing w:line="360" w:lineRule="auto"/>
              <w:jc w:val="center"/>
              <w:rPr>
                <w:rFonts w:ascii="宋体" w:hAnsi="宋体"/>
                <w:szCs w:val="21"/>
              </w:rPr>
            </w:pPr>
            <w:r>
              <w:rPr>
                <w:rFonts w:hint="eastAsia" w:ascii="宋体" w:hAnsi="宋体"/>
                <w:szCs w:val="21"/>
              </w:rPr>
              <w:t>水工程建设规划同意书</w:t>
            </w:r>
          </w:p>
        </w:tc>
        <w:tc>
          <w:tcPr>
            <w:tcW w:w="1697" w:type="dxa"/>
            <w:noWrap w:val="0"/>
            <w:vAlign w:val="center"/>
          </w:tcPr>
          <w:p w14:paraId="57027359">
            <w:pPr>
              <w:spacing w:line="360" w:lineRule="auto"/>
              <w:jc w:val="center"/>
              <w:rPr>
                <w:rFonts w:ascii="宋体" w:hAnsi="宋体"/>
                <w:szCs w:val="21"/>
              </w:rPr>
            </w:pPr>
            <w:r>
              <w:rPr>
                <w:rFonts w:hint="eastAsia" w:ascii="宋体" w:hAnsi="宋体"/>
                <w:szCs w:val="21"/>
              </w:rPr>
              <w:t>3.36</w:t>
            </w:r>
          </w:p>
        </w:tc>
        <w:tc>
          <w:tcPr>
            <w:tcW w:w="2737" w:type="dxa"/>
            <w:noWrap w:val="0"/>
            <w:vAlign w:val="center"/>
          </w:tcPr>
          <w:p w14:paraId="23C899B6">
            <w:pPr>
              <w:spacing w:line="360" w:lineRule="auto"/>
              <w:jc w:val="center"/>
              <w:rPr>
                <w:rFonts w:ascii="宋体" w:hAnsi="宋体"/>
                <w:szCs w:val="21"/>
              </w:rPr>
            </w:pPr>
            <w:r>
              <w:rPr>
                <w:rFonts w:hint="eastAsia" w:ascii="宋体" w:hAnsi="宋体"/>
                <w:szCs w:val="21"/>
              </w:rPr>
              <w:t>水闸安全评价</w:t>
            </w:r>
          </w:p>
        </w:tc>
        <w:tc>
          <w:tcPr>
            <w:tcW w:w="1984" w:type="dxa"/>
            <w:noWrap w:val="0"/>
            <w:vAlign w:val="center"/>
          </w:tcPr>
          <w:p w14:paraId="5C7A1EDA">
            <w:pPr>
              <w:spacing w:line="360" w:lineRule="auto"/>
              <w:jc w:val="center"/>
              <w:rPr>
                <w:rFonts w:ascii="宋体" w:hAnsi="宋体"/>
                <w:szCs w:val="21"/>
              </w:rPr>
            </w:pPr>
            <w:r>
              <w:rPr>
                <w:rFonts w:hint="eastAsia" w:ascii="宋体" w:hAnsi="宋体"/>
                <w:szCs w:val="21"/>
              </w:rPr>
              <w:t>3.08</w:t>
            </w:r>
          </w:p>
        </w:tc>
      </w:tr>
    </w:tbl>
    <w:p w14:paraId="0083A0B4">
      <w:pPr>
        <w:snapToGrid w:val="0"/>
        <w:spacing w:line="360" w:lineRule="auto"/>
        <w:ind w:firstLine="420" w:firstLineChars="200"/>
        <w:textAlignment w:val="top"/>
        <w:rPr>
          <w:rFonts w:ascii="宋体" w:hAnsi="宋体"/>
          <w:szCs w:val="21"/>
        </w:rPr>
      </w:pPr>
      <w:r>
        <w:rPr>
          <w:rFonts w:hint="eastAsia" w:ascii="宋体" w:hAnsi="宋体"/>
          <w:szCs w:val="21"/>
        </w:rPr>
        <w:t>（2）工程复杂程度调整系数： 是对审查项目的复杂程度和审查工作量差异进行调整的系数，工程复杂程度分一般、较复杂和复杂三个等级，其调整系数分别为：一般0.8，较复杂1.0，复杂1.2。</w:t>
      </w:r>
    </w:p>
    <w:p w14:paraId="67E3E364">
      <w:pPr>
        <w:snapToGrid w:val="0"/>
        <w:spacing w:line="360" w:lineRule="auto"/>
        <w:ind w:firstLine="420" w:firstLineChars="200"/>
        <w:textAlignment w:val="top"/>
        <w:rPr>
          <w:rStyle w:val="12"/>
          <w:rFonts w:ascii="宋体" w:hAnsi="宋体" w:cs="宋体"/>
        </w:rPr>
      </w:pPr>
      <w:r>
        <w:rPr>
          <w:rFonts w:hint="eastAsia" w:ascii="宋体" w:hAnsi="宋体"/>
          <w:szCs w:val="21"/>
        </w:rPr>
        <w:t>（3）投标下浮系数：投</w:t>
      </w:r>
      <w:r>
        <w:rPr>
          <w:rFonts w:hint="eastAsia" w:ascii="宋体" w:hAnsi="宋体"/>
          <w:szCs w:val="21"/>
          <w:lang w:bidi="ar"/>
        </w:rPr>
        <w:t>标人根据企业自身情况进行投标下浮报价</w:t>
      </w:r>
      <w:r>
        <w:rPr>
          <w:rFonts w:hint="eastAsia" w:ascii="宋体" w:hAnsi="宋体"/>
          <w:szCs w:val="21"/>
        </w:rPr>
        <w:t>。</w:t>
      </w:r>
    </w:p>
    <w:p w14:paraId="04447ACA">
      <w:pPr>
        <w:snapToGrid w:val="0"/>
        <w:spacing w:line="360" w:lineRule="auto"/>
        <w:ind w:firstLine="420" w:firstLineChars="200"/>
        <w:textAlignment w:val="top"/>
        <w:rPr>
          <w:rFonts w:ascii="宋体" w:hAnsi="宋体"/>
          <w:szCs w:val="21"/>
          <w:lang w:bidi="ar"/>
        </w:rPr>
      </w:pPr>
      <w:r>
        <w:rPr>
          <w:rFonts w:hint="eastAsia" w:ascii="宋体" w:hAnsi="宋体"/>
          <w:szCs w:val="21"/>
          <w:lang w:bidi="ar"/>
        </w:rPr>
        <w:t>2.工程范围或规模较大且技术较复杂的项目</w:t>
      </w:r>
    </w:p>
    <w:p w14:paraId="5C7C8DED">
      <w:pPr>
        <w:snapToGrid w:val="0"/>
        <w:spacing w:line="360" w:lineRule="auto"/>
        <w:ind w:firstLine="420" w:firstLineChars="200"/>
        <w:textAlignment w:val="top"/>
        <w:rPr>
          <w:rFonts w:ascii="宋体" w:hAnsi="宋体"/>
          <w:szCs w:val="21"/>
        </w:rPr>
      </w:pPr>
      <w:r>
        <w:rPr>
          <w:rFonts w:hint="eastAsia" w:ascii="宋体" w:hAnsi="宋体"/>
          <w:szCs w:val="21"/>
          <w:lang w:bidi="ar"/>
        </w:rPr>
        <w:t>工程范围或规模较大且技术较复杂</w:t>
      </w:r>
      <w:r>
        <w:rPr>
          <w:rFonts w:hint="eastAsia" w:ascii="宋体" w:hAnsi="宋体"/>
          <w:szCs w:val="21"/>
        </w:rPr>
        <w:t>，中介机构开展审查工作所耗工日及成本费用较大的规划和专题类项目（如</w:t>
      </w:r>
      <w:r>
        <w:rPr>
          <w:rFonts w:hint="eastAsia" w:ascii="宋体" w:hAnsi="宋体"/>
          <w:szCs w:val="21"/>
          <w:lang w:bidi="ar"/>
        </w:rPr>
        <w:t>工程范围或规模较大且技术较复杂的</w:t>
      </w:r>
      <w:r>
        <w:rPr>
          <w:rFonts w:hint="eastAsia" w:ascii="宋体" w:hAnsi="宋体"/>
          <w:szCs w:val="21"/>
        </w:rPr>
        <w:t>规划项目，非防洪建设项目洪水影响评价报告和生产建设项目水土保持方案，若涉及多个河道管理范围、泛洪区、蓄滞洪区，符合有关规定编制一份报告上报审查的项目，开展区域性评估或并联（合并）审查项目等），采用工日法计算技术审查评估咨询服务费。具体计算方法如下：</w:t>
      </w:r>
    </w:p>
    <w:p w14:paraId="6FAA2573">
      <w:pPr>
        <w:snapToGrid w:val="0"/>
        <w:spacing w:line="360" w:lineRule="auto"/>
        <w:ind w:firstLine="420" w:firstLineChars="200"/>
        <w:textAlignment w:val="top"/>
        <w:rPr>
          <w:rFonts w:ascii="宋体" w:hAnsi="宋体"/>
          <w:szCs w:val="21"/>
        </w:rPr>
      </w:pPr>
      <w:r>
        <w:rPr>
          <w:rFonts w:hint="eastAsia" w:ascii="宋体" w:hAnsi="宋体"/>
          <w:szCs w:val="21"/>
        </w:rPr>
        <w:t>项目技术审查评估咨询服务费=（专家咨询费+中介机构评审运行费）×（1-投标下浮系数）。</w:t>
      </w:r>
    </w:p>
    <w:p w14:paraId="7AB536D5">
      <w:pPr>
        <w:snapToGrid w:val="0"/>
        <w:spacing w:line="360" w:lineRule="auto"/>
        <w:ind w:firstLine="420" w:firstLineChars="200"/>
        <w:textAlignment w:val="top"/>
        <w:rPr>
          <w:rFonts w:ascii="宋体" w:hAnsi="宋体"/>
          <w:szCs w:val="21"/>
        </w:rPr>
      </w:pPr>
      <w:r>
        <w:rPr>
          <w:rFonts w:hint="eastAsia" w:ascii="宋体" w:hAnsi="宋体"/>
          <w:szCs w:val="21"/>
        </w:rPr>
        <w:t>专家咨询费=评审评估咨询工作所耗工日×工日费用标准×工程复杂程度调整系数</w:t>
      </w:r>
    </w:p>
    <w:p w14:paraId="5C4A80E6">
      <w:pPr>
        <w:snapToGrid w:val="0"/>
        <w:spacing w:line="360" w:lineRule="auto"/>
        <w:ind w:firstLine="420" w:firstLineChars="200"/>
        <w:textAlignment w:val="top"/>
        <w:rPr>
          <w:rFonts w:ascii="宋体" w:hAnsi="宋体"/>
          <w:szCs w:val="21"/>
        </w:rPr>
      </w:pPr>
      <w:r>
        <w:rPr>
          <w:rFonts w:hint="eastAsia" w:ascii="宋体" w:hAnsi="宋体"/>
          <w:szCs w:val="21"/>
        </w:rPr>
        <w:t>（1）评审评估咨询工作所耗工日应考虑工程项目的</w:t>
      </w:r>
      <w:r>
        <w:rPr>
          <w:rFonts w:hint="eastAsia" w:ascii="宋体" w:hAnsi="宋体"/>
          <w:bCs/>
          <w:szCs w:val="21"/>
        </w:rPr>
        <w:t>类别、内容、难度及</w:t>
      </w:r>
      <w:r>
        <w:rPr>
          <w:rFonts w:hint="eastAsia" w:ascii="宋体" w:hAnsi="宋体"/>
          <w:szCs w:val="21"/>
        </w:rPr>
        <w:t>审查工作量差异等因素，由委托方和受托方共同合理测算确定，并在项目技术审查委托合同约定。</w:t>
      </w:r>
    </w:p>
    <w:p w14:paraId="7A2294B3">
      <w:pPr>
        <w:snapToGrid w:val="0"/>
        <w:spacing w:line="360" w:lineRule="auto"/>
        <w:ind w:firstLine="420" w:firstLineChars="200"/>
        <w:textAlignment w:val="top"/>
        <w:rPr>
          <w:rFonts w:ascii="宋体" w:hAnsi="宋体"/>
          <w:szCs w:val="21"/>
        </w:rPr>
      </w:pPr>
      <w:r>
        <w:rPr>
          <w:rFonts w:hint="eastAsia" w:ascii="宋体" w:hAnsi="宋体"/>
          <w:szCs w:val="21"/>
        </w:rPr>
        <w:t>（2）专家工日费用标准</w:t>
      </w:r>
    </w:p>
    <w:tbl>
      <w:tblPr>
        <w:tblStyle w:val="9"/>
        <w:tblW w:w="89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19"/>
        <w:gridCol w:w="4083"/>
      </w:tblGrid>
      <w:tr w14:paraId="5F132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9" w:type="dxa"/>
            <w:noWrap w:val="0"/>
            <w:vAlign w:val="top"/>
          </w:tcPr>
          <w:p w14:paraId="6D74353F">
            <w:pPr>
              <w:snapToGrid w:val="0"/>
              <w:spacing w:line="360" w:lineRule="auto"/>
              <w:jc w:val="center"/>
              <w:textAlignment w:val="top"/>
              <w:rPr>
                <w:rFonts w:ascii="宋体" w:hAnsi="宋体"/>
                <w:szCs w:val="21"/>
              </w:rPr>
            </w:pPr>
            <w:r>
              <w:rPr>
                <w:rFonts w:hint="eastAsia" w:ascii="宋体" w:hAnsi="宋体"/>
                <w:szCs w:val="21"/>
              </w:rPr>
              <w:t>咨询人员职级</w:t>
            </w:r>
          </w:p>
        </w:tc>
        <w:tc>
          <w:tcPr>
            <w:tcW w:w="4083" w:type="dxa"/>
            <w:noWrap w:val="0"/>
            <w:vAlign w:val="top"/>
          </w:tcPr>
          <w:p w14:paraId="48200BA4">
            <w:pPr>
              <w:snapToGrid w:val="0"/>
              <w:spacing w:line="360" w:lineRule="auto"/>
              <w:jc w:val="center"/>
              <w:textAlignment w:val="top"/>
              <w:rPr>
                <w:rFonts w:ascii="宋体" w:hAnsi="宋体"/>
                <w:szCs w:val="21"/>
              </w:rPr>
            </w:pPr>
            <w:r>
              <w:rPr>
                <w:rFonts w:hint="eastAsia" w:ascii="宋体" w:hAnsi="宋体"/>
                <w:szCs w:val="21"/>
              </w:rPr>
              <w:t>工日费用标准（元）</w:t>
            </w:r>
          </w:p>
        </w:tc>
      </w:tr>
      <w:tr w14:paraId="4003D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9" w:type="dxa"/>
            <w:noWrap w:val="0"/>
            <w:vAlign w:val="top"/>
          </w:tcPr>
          <w:p w14:paraId="576F9F13">
            <w:pPr>
              <w:snapToGrid w:val="0"/>
              <w:spacing w:line="360" w:lineRule="auto"/>
              <w:jc w:val="center"/>
              <w:textAlignment w:val="top"/>
              <w:rPr>
                <w:rFonts w:ascii="宋体" w:hAnsi="宋体"/>
                <w:szCs w:val="21"/>
              </w:rPr>
            </w:pPr>
            <w:r>
              <w:rPr>
                <w:rFonts w:hint="eastAsia" w:ascii="宋体" w:hAnsi="宋体"/>
                <w:szCs w:val="21"/>
              </w:rPr>
              <w:t>高级专家</w:t>
            </w:r>
          </w:p>
        </w:tc>
        <w:tc>
          <w:tcPr>
            <w:tcW w:w="4083" w:type="dxa"/>
            <w:noWrap w:val="0"/>
            <w:vAlign w:val="top"/>
          </w:tcPr>
          <w:p w14:paraId="39F78E14">
            <w:pPr>
              <w:snapToGrid w:val="0"/>
              <w:spacing w:line="360" w:lineRule="auto"/>
              <w:jc w:val="center"/>
              <w:textAlignment w:val="top"/>
              <w:rPr>
                <w:rFonts w:ascii="宋体" w:hAnsi="宋体"/>
                <w:szCs w:val="21"/>
              </w:rPr>
            </w:pPr>
            <w:r>
              <w:rPr>
                <w:rFonts w:hint="eastAsia" w:ascii="宋体" w:hAnsi="宋体"/>
                <w:szCs w:val="21"/>
              </w:rPr>
              <w:t>1000—1200</w:t>
            </w:r>
          </w:p>
        </w:tc>
      </w:tr>
      <w:tr w14:paraId="4A775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9" w:type="dxa"/>
            <w:noWrap w:val="0"/>
            <w:vAlign w:val="top"/>
          </w:tcPr>
          <w:p w14:paraId="18316498">
            <w:pPr>
              <w:snapToGrid w:val="0"/>
              <w:spacing w:line="360" w:lineRule="auto"/>
              <w:jc w:val="center"/>
              <w:textAlignment w:val="top"/>
              <w:rPr>
                <w:rFonts w:ascii="宋体" w:hAnsi="宋体"/>
                <w:szCs w:val="21"/>
              </w:rPr>
            </w:pPr>
            <w:r>
              <w:rPr>
                <w:rFonts w:hint="eastAsia" w:ascii="宋体" w:hAnsi="宋体"/>
                <w:szCs w:val="21"/>
              </w:rPr>
              <w:t>高级专业技术职称的咨询人员</w:t>
            </w:r>
          </w:p>
        </w:tc>
        <w:tc>
          <w:tcPr>
            <w:tcW w:w="4083" w:type="dxa"/>
            <w:noWrap w:val="0"/>
            <w:vAlign w:val="top"/>
          </w:tcPr>
          <w:p w14:paraId="221CB6B1">
            <w:pPr>
              <w:snapToGrid w:val="0"/>
              <w:spacing w:line="360" w:lineRule="auto"/>
              <w:jc w:val="center"/>
              <w:textAlignment w:val="top"/>
              <w:rPr>
                <w:rFonts w:ascii="宋体" w:hAnsi="宋体"/>
                <w:szCs w:val="21"/>
              </w:rPr>
            </w:pPr>
            <w:r>
              <w:rPr>
                <w:rFonts w:hint="eastAsia" w:ascii="宋体" w:hAnsi="宋体"/>
                <w:szCs w:val="21"/>
              </w:rPr>
              <w:t>800—1000</w:t>
            </w:r>
          </w:p>
        </w:tc>
      </w:tr>
      <w:tr w14:paraId="42FE2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19" w:type="dxa"/>
            <w:noWrap w:val="0"/>
            <w:vAlign w:val="top"/>
          </w:tcPr>
          <w:p w14:paraId="550DE8CA">
            <w:pPr>
              <w:snapToGrid w:val="0"/>
              <w:spacing w:line="360" w:lineRule="auto"/>
              <w:jc w:val="center"/>
              <w:textAlignment w:val="top"/>
              <w:rPr>
                <w:rFonts w:ascii="宋体" w:hAnsi="宋体"/>
                <w:szCs w:val="21"/>
              </w:rPr>
            </w:pPr>
            <w:r>
              <w:rPr>
                <w:rFonts w:hint="eastAsia" w:ascii="宋体" w:hAnsi="宋体"/>
                <w:szCs w:val="21"/>
              </w:rPr>
              <w:t>中级专业技术职称的咨询人员</w:t>
            </w:r>
          </w:p>
        </w:tc>
        <w:tc>
          <w:tcPr>
            <w:tcW w:w="4083" w:type="dxa"/>
            <w:noWrap w:val="0"/>
            <w:vAlign w:val="top"/>
          </w:tcPr>
          <w:p w14:paraId="0CEA3D22">
            <w:pPr>
              <w:snapToGrid w:val="0"/>
              <w:spacing w:line="360" w:lineRule="auto"/>
              <w:jc w:val="center"/>
              <w:textAlignment w:val="top"/>
              <w:rPr>
                <w:rFonts w:ascii="宋体" w:hAnsi="宋体"/>
                <w:szCs w:val="21"/>
              </w:rPr>
            </w:pPr>
            <w:r>
              <w:rPr>
                <w:rFonts w:hint="eastAsia" w:ascii="宋体" w:hAnsi="宋体"/>
                <w:szCs w:val="21"/>
              </w:rPr>
              <w:t>600—800</w:t>
            </w:r>
          </w:p>
        </w:tc>
      </w:tr>
    </w:tbl>
    <w:p w14:paraId="07937D94">
      <w:pPr>
        <w:snapToGrid w:val="0"/>
        <w:spacing w:line="360" w:lineRule="auto"/>
        <w:ind w:firstLine="420" w:firstLineChars="200"/>
        <w:textAlignment w:val="top"/>
        <w:rPr>
          <w:rFonts w:ascii="宋体" w:hAnsi="宋体"/>
          <w:szCs w:val="21"/>
        </w:rPr>
      </w:pPr>
      <w:r>
        <w:rPr>
          <w:rFonts w:hint="eastAsia" w:ascii="宋体" w:hAnsi="宋体"/>
          <w:szCs w:val="21"/>
        </w:rPr>
        <w:t>注：参照国家发展计划委员会《建设项目前期工作咨询收费暂行规定》（计价格〔1999〕1283号）及自治区物价局和发展计划委员会《转发国家计委关于印发建设项目前期工作咨询收费暂行规定的通知》（桂价经字〔2000〕88号）的标准。</w:t>
      </w:r>
    </w:p>
    <w:p w14:paraId="64D55C8F">
      <w:pPr>
        <w:snapToGrid w:val="0"/>
        <w:spacing w:line="360" w:lineRule="auto"/>
        <w:ind w:firstLine="420" w:firstLineChars="200"/>
        <w:textAlignment w:val="top"/>
        <w:rPr>
          <w:rFonts w:ascii="宋体" w:hAnsi="宋体"/>
          <w:szCs w:val="21"/>
        </w:rPr>
      </w:pPr>
      <w:r>
        <w:rPr>
          <w:rFonts w:hint="eastAsia" w:ascii="宋体" w:hAnsi="宋体"/>
          <w:szCs w:val="21"/>
        </w:rPr>
        <w:t>（3）工程复杂程度调整系数：工程复杂程度分一般、较复杂和复杂三个等级，其调整系数分别为：一般0.8，较复杂1.0，复杂1.2。</w:t>
      </w:r>
    </w:p>
    <w:p w14:paraId="2718616B">
      <w:pPr>
        <w:snapToGrid w:val="0"/>
        <w:spacing w:line="360" w:lineRule="auto"/>
        <w:ind w:firstLine="420" w:firstLineChars="200"/>
        <w:textAlignment w:val="top"/>
        <w:rPr>
          <w:rFonts w:ascii="宋体" w:hAnsi="宋体"/>
          <w:szCs w:val="21"/>
        </w:rPr>
      </w:pPr>
      <w:r>
        <w:rPr>
          <w:rFonts w:hint="eastAsia" w:ascii="宋体" w:hAnsi="宋体"/>
          <w:szCs w:val="21"/>
        </w:rPr>
        <w:t>（4）中介机构评审运行费</w:t>
      </w:r>
    </w:p>
    <w:p w14:paraId="2C78FD1A">
      <w:pPr>
        <w:snapToGrid w:val="0"/>
        <w:spacing w:line="360" w:lineRule="auto"/>
        <w:ind w:firstLine="420" w:firstLineChars="200"/>
        <w:textAlignment w:val="top"/>
        <w:rPr>
          <w:rFonts w:ascii="宋体" w:hAnsi="宋体"/>
        </w:rPr>
      </w:pPr>
      <w:r>
        <w:rPr>
          <w:rFonts w:hint="eastAsia" w:ascii="宋体" w:hAnsi="宋体"/>
          <w:szCs w:val="21"/>
        </w:rPr>
        <w:t>中介机构评审运行费按专家咨询费的60%计算。主要包括：中介机构人员工资、奖金、福利，中介机构的利润及税金；评审工作所需场地租用费、会务资料费、差旅费、住宿交通费等所发生的费用。</w:t>
      </w:r>
    </w:p>
    <w:p w14:paraId="5E6FE0F0">
      <w:pPr>
        <w:pStyle w:val="2"/>
        <w:spacing w:line="360" w:lineRule="auto"/>
        <w:jc w:val="center"/>
        <w:rPr>
          <w:rFonts w:ascii="宋体" w:hAnsi="宋体" w:cs="宋体"/>
        </w:rPr>
        <w:sectPr>
          <w:footerReference r:id="rId8" w:type="first"/>
          <w:headerReference r:id="rId5" w:type="default"/>
          <w:footerReference r:id="rId6" w:type="default"/>
          <w:footerReference r:id="rId7" w:type="even"/>
          <w:pgSz w:w="11906" w:h="16838"/>
          <w:pgMar w:top="1247" w:right="1247" w:bottom="1247" w:left="1247" w:header="851" w:footer="992" w:gutter="0"/>
          <w:cols w:space="720" w:num="1"/>
          <w:docGrid w:linePitch="312" w:charSpace="0"/>
        </w:sectPr>
      </w:pPr>
    </w:p>
    <w:p w14:paraId="25D36F1B">
      <w:pPr>
        <w:pStyle w:val="7"/>
        <w:widowControl w:val="0"/>
        <w:spacing w:before="0" w:beforeAutospacing="0" w:after="0" w:afterAutospacing="0" w:line="360" w:lineRule="auto"/>
        <w:rPr>
          <w:rFonts w:cs="宋体"/>
          <w:b/>
          <w:sz w:val="21"/>
          <w:szCs w:val="21"/>
          <w:lang w:bidi="ar"/>
        </w:rPr>
      </w:pPr>
      <w:r>
        <w:rPr>
          <w:rFonts w:hint="eastAsia" w:cs="宋体"/>
          <w:b/>
          <w:sz w:val="21"/>
          <w:szCs w:val="21"/>
          <w:lang w:bidi="ar"/>
        </w:rPr>
        <w:t>附件二：《中小微企业划型标准》</w:t>
      </w:r>
    </w:p>
    <w:p w14:paraId="7D6A31F8">
      <w:pPr>
        <w:snapToGrid w:val="0"/>
        <w:spacing w:before="120" w:beforeLines="50" w:after="120" w:afterLines="50" w:line="360" w:lineRule="auto"/>
        <w:ind w:firstLine="482" w:firstLineChars="200"/>
        <w:jc w:val="center"/>
        <w:textAlignment w:val="top"/>
        <w:rPr>
          <w:rFonts w:cs="宋体"/>
          <w:b/>
          <w:sz w:val="24"/>
          <w:lang w:bidi="ar"/>
        </w:rPr>
      </w:pPr>
      <w:bookmarkStart w:id="5" w:name="_Toc16661"/>
      <w:bookmarkStart w:id="6" w:name="_Toc5463"/>
      <w:bookmarkStart w:id="7" w:name="_Toc8193"/>
      <w:r>
        <w:rPr>
          <w:rFonts w:hint="eastAsia" w:cs="宋体"/>
          <w:b/>
          <w:sz w:val="24"/>
          <w:lang w:bidi="ar"/>
        </w:rPr>
        <w:t>中小微企业划型标准</w:t>
      </w:r>
      <w:bookmarkEnd w:id="5"/>
      <w:bookmarkEnd w:id="6"/>
      <w:bookmarkEnd w:id="7"/>
    </w:p>
    <w:tbl>
      <w:tblPr>
        <w:tblStyle w:val="9"/>
        <w:tblW w:w="9475" w:type="dxa"/>
        <w:jc w:val="center"/>
        <w:tblLayout w:type="fixed"/>
        <w:tblCellMar>
          <w:top w:w="0" w:type="dxa"/>
          <w:left w:w="108" w:type="dxa"/>
          <w:bottom w:w="0" w:type="dxa"/>
          <w:right w:w="108" w:type="dxa"/>
        </w:tblCellMar>
      </w:tblPr>
      <w:tblGrid>
        <w:gridCol w:w="2035"/>
        <w:gridCol w:w="1712"/>
        <w:gridCol w:w="740"/>
        <w:gridCol w:w="2066"/>
        <w:gridCol w:w="1956"/>
        <w:gridCol w:w="966"/>
      </w:tblGrid>
      <w:tr w14:paraId="1108F7CF">
        <w:tblPrEx>
          <w:tblCellMar>
            <w:top w:w="0" w:type="dxa"/>
            <w:left w:w="108" w:type="dxa"/>
            <w:bottom w:w="0" w:type="dxa"/>
            <w:right w:w="108" w:type="dxa"/>
          </w:tblCellMar>
        </w:tblPrEx>
        <w:trPr>
          <w:trHeight w:val="285" w:hRule="atLeast"/>
          <w:jc w:val="center"/>
        </w:trPr>
        <w:tc>
          <w:tcPr>
            <w:tcW w:w="2035" w:type="dxa"/>
            <w:tcBorders>
              <w:top w:val="single" w:color="auto" w:sz="4" w:space="0"/>
              <w:left w:val="single" w:color="auto" w:sz="4" w:space="0"/>
              <w:bottom w:val="single" w:color="auto" w:sz="4" w:space="0"/>
              <w:right w:val="single" w:color="auto" w:sz="4" w:space="0"/>
            </w:tcBorders>
            <w:noWrap w:val="0"/>
            <w:vAlign w:val="center"/>
          </w:tcPr>
          <w:p w14:paraId="045762B6">
            <w:pPr>
              <w:widowControl/>
              <w:jc w:val="center"/>
              <w:rPr>
                <w:rFonts w:ascii="宋体" w:hAnsi="宋体" w:cs="宋体"/>
                <w:b/>
                <w:kern w:val="0"/>
                <w:szCs w:val="21"/>
              </w:rPr>
            </w:pPr>
            <w:r>
              <w:rPr>
                <w:rFonts w:hint="eastAsia" w:ascii="宋体" w:hAnsi="宋体" w:cs="宋体"/>
                <w:b/>
                <w:kern w:val="0"/>
                <w:szCs w:val="21"/>
              </w:rPr>
              <w:t>行业名称</w:t>
            </w:r>
          </w:p>
        </w:tc>
        <w:tc>
          <w:tcPr>
            <w:tcW w:w="1712" w:type="dxa"/>
            <w:tcBorders>
              <w:top w:val="single" w:color="auto" w:sz="4" w:space="0"/>
              <w:left w:val="nil"/>
              <w:bottom w:val="single" w:color="auto" w:sz="4" w:space="0"/>
              <w:right w:val="single" w:color="auto" w:sz="4" w:space="0"/>
            </w:tcBorders>
            <w:noWrap w:val="0"/>
            <w:vAlign w:val="center"/>
          </w:tcPr>
          <w:p w14:paraId="32EAC28A">
            <w:pPr>
              <w:widowControl/>
              <w:jc w:val="center"/>
              <w:rPr>
                <w:rFonts w:ascii="宋体" w:hAnsi="宋体" w:cs="宋体"/>
                <w:b/>
                <w:kern w:val="0"/>
                <w:szCs w:val="21"/>
              </w:rPr>
            </w:pPr>
            <w:r>
              <w:rPr>
                <w:rFonts w:hint="eastAsia" w:ascii="宋体" w:hAnsi="宋体" w:cs="宋体"/>
                <w:b/>
                <w:kern w:val="0"/>
                <w:szCs w:val="21"/>
              </w:rPr>
              <w:t>指标名称</w:t>
            </w:r>
          </w:p>
        </w:tc>
        <w:tc>
          <w:tcPr>
            <w:tcW w:w="740" w:type="dxa"/>
            <w:tcBorders>
              <w:top w:val="single" w:color="auto" w:sz="4" w:space="0"/>
              <w:left w:val="nil"/>
              <w:bottom w:val="single" w:color="auto" w:sz="4" w:space="0"/>
              <w:right w:val="single" w:color="auto" w:sz="4" w:space="0"/>
            </w:tcBorders>
            <w:noWrap w:val="0"/>
            <w:vAlign w:val="center"/>
          </w:tcPr>
          <w:p w14:paraId="05FE2A51">
            <w:pPr>
              <w:widowControl/>
              <w:jc w:val="center"/>
              <w:rPr>
                <w:rFonts w:ascii="宋体" w:hAnsi="宋体" w:cs="宋体"/>
                <w:b/>
                <w:kern w:val="0"/>
                <w:szCs w:val="21"/>
              </w:rPr>
            </w:pPr>
            <w:r>
              <w:rPr>
                <w:rFonts w:hint="eastAsia" w:ascii="宋体" w:hAnsi="宋体" w:cs="宋体"/>
                <w:b/>
                <w:kern w:val="0"/>
                <w:szCs w:val="21"/>
              </w:rPr>
              <w:t>计量单位</w:t>
            </w:r>
          </w:p>
        </w:tc>
        <w:tc>
          <w:tcPr>
            <w:tcW w:w="2066" w:type="dxa"/>
            <w:tcBorders>
              <w:top w:val="single" w:color="auto" w:sz="4" w:space="0"/>
              <w:left w:val="nil"/>
              <w:bottom w:val="single" w:color="auto" w:sz="4" w:space="0"/>
              <w:right w:val="single" w:color="auto" w:sz="4" w:space="0"/>
            </w:tcBorders>
            <w:noWrap w:val="0"/>
            <w:vAlign w:val="center"/>
          </w:tcPr>
          <w:p w14:paraId="39F62B99">
            <w:pPr>
              <w:widowControl/>
              <w:jc w:val="center"/>
              <w:rPr>
                <w:rFonts w:ascii="宋体" w:hAnsi="宋体" w:cs="宋体"/>
                <w:b/>
                <w:kern w:val="0"/>
                <w:szCs w:val="21"/>
              </w:rPr>
            </w:pPr>
            <w:r>
              <w:rPr>
                <w:rFonts w:hint="eastAsia" w:ascii="宋体" w:hAnsi="宋体" w:cs="宋体"/>
                <w:b/>
                <w:kern w:val="0"/>
                <w:szCs w:val="21"/>
              </w:rPr>
              <w:t>中型</w:t>
            </w:r>
          </w:p>
        </w:tc>
        <w:tc>
          <w:tcPr>
            <w:tcW w:w="1956" w:type="dxa"/>
            <w:tcBorders>
              <w:top w:val="single" w:color="auto" w:sz="4" w:space="0"/>
              <w:left w:val="nil"/>
              <w:bottom w:val="single" w:color="auto" w:sz="4" w:space="0"/>
              <w:right w:val="single" w:color="auto" w:sz="4" w:space="0"/>
            </w:tcBorders>
            <w:noWrap w:val="0"/>
            <w:vAlign w:val="center"/>
          </w:tcPr>
          <w:p w14:paraId="54CCEDB0">
            <w:pPr>
              <w:widowControl/>
              <w:jc w:val="center"/>
              <w:rPr>
                <w:rFonts w:ascii="宋体" w:hAnsi="宋体" w:cs="宋体"/>
                <w:b/>
                <w:kern w:val="0"/>
                <w:szCs w:val="21"/>
              </w:rPr>
            </w:pPr>
            <w:r>
              <w:rPr>
                <w:rFonts w:hint="eastAsia" w:ascii="宋体" w:hAnsi="宋体" w:cs="宋体"/>
                <w:b/>
                <w:kern w:val="0"/>
                <w:szCs w:val="21"/>
              </w:rPr>
              <w:t>小型</w:t>
            </w:r>
          </w:p>
        </w:tc>
        <w:tc>
          <w:tcPr>
            <w:tcW w:w="966" w:type="dxa"/>
            <w:tcBorders>
              <w:top w:val="single" w:color="auto" w:sz="4" w:space="0"/>
              <w:left w:val="nil"/>
              <w:bottom w:val="single" w:color="auto" w:sz="4" w:space="0"/>
              <w:right w:val="single" w:color="auto" w:sz="4" w:space="0"/>
            </w:tcBorders>
            <w:noWrap w:val="0"/>
            <w:vAlign w:val="center"/>
          </w:tcPr>
          <w:p w14:paraId="35B0319C">
            <w:pPr>
              <w:widowControl/>
              <w:jc w:val="center"/>
              <w:rPr>
                <w:rFonts w:ascii="宋体" w:hAnsi="宋体" w:cs="宋体"/>
                <w:b/>
                <w:kern w:val="0"/>
                <w:szCs w:val="21"/>
              </w:rPr>
            </w:pPr>
            <w:r>
              <w:rPr>
                <w:rFonts w:hint="eastAsia" w:ascii="宋体" w:hAnsi="宋体" w:cs="宋体"/>
                <w:b/>
                <w:kern w:val="0"/>
                <w:szCs w:val="21"/>
              </w:rPr>
              <w:t>微型</w:t>
            </w:r>
          </w:p>
        </w:tc>
      </w:tr>
      <w:tr w14:paraId="23E093EF">
        <w:tblPrEx>
          <w:tblCellMar>
            <w:top w:w="0" w:type="dxa"/>
            <w:left w:w="108" w:type="dxa"/>
            <w:bottom w:w="0" w:type="dxa"/>
            <w:right w:w="108" w:type="dxa"/>
          </w:tblCellMar>
        </w:tblPrEx>
        <w:trPr>
          <w:trHeight w:val="340" w:hRule="atLeast"/>
          <w:jc w:val="center"/>
        </w:trPr>
        <w:tc>
          <w:tcPr>
            <w:tcW w:w="2035" w:type="dxa"/>
            <w:tcBorders>
              <w:top w:val="nil"/>
              <w:left w:val="single" w:color="auto" w:sz="4" w:space="0"/>
              <w:bottom w:val="single" w:color="auto" w:sz="4" w:space="0"/>
              <w:right w:val="single" w:color="auto" w:sz="4" w:space="0"/>
            </w:tcBorders>
            <w:noWrap w:val="0"/>
            <w:vAlign w:val="center"/>
          </w:tcPr>
          <w:p w14:paraId="68A39C60">
            <w:pPr>
              <w:widowControl/>
              <w:jc w:val="center"/>
              <w:rPr>
                <w:rFonts w:ascii="宋体" w:hAnsi="宋体" w:cs="宋体"/>
                <w:b/>
                <w:bCs/>
                <w:kern w:val="0"/>
                <w:szCs w:val="21"/>
              </w:rPr>
            </w:pPr>
            <w:r>
              <w:rPr>
                <w:rFonts w:hint="eastAsia" w:ascii="宋体" w:hAnsi="宋体" w:cs="宋体"/>
                <w:b/>
                <w:bCs/>
                <w:kern w:val="0"/>
                <w:szCs w:val="21"/>
              </w:rPr>
              <w:t>农、林、牧、渔</w:t>
            </w:r>
          </w:p>
        </w:tc>
        <w:tc>
          <w:tcPr>
            <w:tcW w:w="1712" w:type="dxa"/>
            <w:tcBorders>
              <w:top w:val="nil"/>
              <w:left w:val="nil"/>
              <w:bottom w:val="single" w:color="auto" w:sz="4" w:space="0"/>
              <w:right w:val="single" w:color="auto" w:sz="4" w:space="0"/>
            </w:tcBorders>
            <w:noWrap w:val="0"/>
            <w:vAlign w:val="center"/>
          </w:tcPr>
          <w:p w14:paraId="4A0816D1">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7F0643AF">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108109B8">
            <w:pPr>
              <w:widowControl/>
              <w:jc w:val="left"/>
              <w:rPr>
                <w:rFonts w:ascii="宋体" w:hAnsi="宋体" w:cs="宋体"/>
                <w:kern w:val="0"/>
                <w:szCs w:val="21"/>
              </w:rPr>
            </w:pPr>
            <w:r>
              <w:rPr>
                <w:rFonts w:hint="eastAsia" w:ascii="宋体" w:hAnsi="宋体" w:cs="宋体"/>
                <w:kern w:val="0"/>
                <w:szCs w:val="21"/>
              </w:rPr>
              <w:t>500≤Y＜20000</w:t>
            </w:r>
          </w:p>
        </w:tc>
        <w:tc>
          <w:tcPr>
            <w:tcW w:w="1956" w:type="dxa"/>
            <w:tcBorders>
              <w:top w:val="nil"/>
              <w:left w:val="nil"/>
              <w:bottom w:val="single" w:color="auto" w:sz="4" w:space="0"/>
              <w:right w:val="single" w:color="auto" w:sz="4" w:space="0"/>
            </w:tcBorders>
            <w:noWrap w:val="0"/>
            <w:vAlign w:val="center"/>
          </w:tcPr>
          <w:p w14:paraId="1C938E14">
            <w:pPr>
              <w:widowControl/>
              <w:jc w:val="left"/>
              <w:rPr>
                <w:rFonts w:ascii="宋体" w:hAnsi="宋体" w:cs="宋体"/>
                <w:kern w:val="0"/>
                <w:szCs w:val="21"/>
              </w:rPr>
            </w:pPr>
            <w:r>
              <w:rPr>
                <w:rFonts w:hint="eastAsia" w:ascii="宋体" w:hAnsi="宋体" w:cs="宋体"/>
                <w:kern w:val="0"/>
                <w:szCs w:val="21"/>
              </w:rPr>
              <w:t>50≤Y＜500</w:t>
            </w:r>
          </w:p>
        </w:tc>
        <w:tc>
          <w:tcPr>
            <w:tcW w:w="966" w:type="dxa"/>
            <w:tcBorders>
              <w:top w:val="nil"/>
              <w:left w:val="nil"/>
              <w:bottom w:val="single" w:color="auto" w:sz="4" w:space="0"/>
              <w:right w:val="single" w:color="auto" w:sz="4" w:space="0"/>
            </w:tcBorders>
            <w:noWrap w:val="0"/>
            <w:vAlign w:val="center"/>
          </w:tcPr>
          <w:p w14:paraId="17FBBE6D">
            <w:pPr>
              <w:widowControl/>
              <w:jc w:val="left"/>
              <w:rPr>
                <w:rFonts w:ascii="宋体" w:hAnsi="宋体" w:cs="宋体"/>
                <w:kern w:val="0"/>
                <w:szCs w:val="21"/>
              </w:rPr>
            </w:pPr>
            <w:r>
              <w:rPr>
                <w:rFonts w:hint="eastAsia" w:ascii="宋体" w:hAnsi="宋体" w:cs="宋体"/>
                <w:kern w:val="0"/>
                <w:szCs w:val="21"/>
              </w:rPr>
              <w:t>Y＜50</w:t>
            </w:r>
          </w:p>
        </w:tc>
      </w:tr>
      <w:tr w14:paraId="13C9D83A">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550ADFFC">
            <w:pPr>
              <w:widowControl/>
              <w:jc w:val="center"/>
              <w:rPr>
                <w:rFonts w:ascii="宋体" w:hAnsi="宋体" w:cs="宋体"/>
                <w:b/>
                <w:bCs/>
                <w:kern w:val="0"/>
                <w:szCs w:val="21"/>
              </w:rPr>
            </w:pPr>
            <w:r>
              <w:rPr>
                <w:rFonts w:hint="eastAsia" w:ascii="宋体" w:hAnsi="宋体" w:cs="宋体"/>
                <w:b/>
                <w:bCs/>
                <w:kern w:val="0"/>
                <w:szCs w:val="21"/>
              </w:rPr>
              <w:t>工业</w:t>
            </w:r>
          </w:p>
        </w:tc>
        <w:tc>
          <w:tcPr>
            <w:tcW w:w="1712" w:type="dxa"/>
            <w:tcBorders>
              <w:top w:val="nil"/>
              <w:left w:val="nil"/>
              <w:bottom w:val="single" w:color="auto" w:sz="4" w:space="0"/>
              <w:right w:val="single" w:color="auto" w:sz="4" w:space="0"/>
            </w:tcBorders>
            <w:noWrap w:val="0"/>
            <w:vAlign w:val="center"/>
          </w:tcPr>
          <w:p w14:paraId="507158AC">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492088AC">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6469B123">
            <w:pPr>
              <w:widowControl/>
              <w:jc w:val="left"/>
              <w:rPr>
                <w:rFonts w:ascii="宋体" w:hAnsi="宋体" w:cs="宋体"/>
                <w:kern w:val="0"/>
                <w:szCs w:val="21"/>
              </w:rPr>
            </w:pPr>
            <w:r>
              <w:rPr>
                <w:rFonts w:hint="eastAsia" w:ascii="宋体" w:hAnsi="宋体" w:cs="宋体"/>
                <w:kern w:val="0"/>
                <w:szCs w:val="21"/>
              </w:rPr>
              <w:t>300≤X＜1000</w:t>
            </w:r>
          </w:p>
        </w:tc>
        <w:tc>
          <w:tcPr>
            <w:tcW w:w="1956" w:type="dxa"/>
            <w:tcBorders>
              <w:top w:val="nil"/>
              <w:left w:val="nil"/>
              <w:bottom w:val="single" w:color="auto" w:sz="4" w:space="0"/>
              <w:right w:val="single" w:color="auto" w:sz="4" w:space="0"/>
            </w:tcBorders>
            <w:noWrap w:val="0"/>
            <w:vAlign w:val="center"/>
          </w:tcPr>
          <w:p w14:paraId="189BD592">
            <w:pPr>
              <w:widowControl/>
              <w:jc w:val="left"/>
              <w:rPr>
                <w:rFonts w:ascii="宋体" w:hAnsi="宋体" w:cs="宋体"/>
                <w:kern w:val="0"/>
                <w:szCs w:val="21"/>
              </w:rPr>
            </w:pPr>
            <w:r>
              <w:rPr>
                <w:rFonts w:hint="eastAsia" w:ascii="宋体" w:hAnsi="宋体" w:cs="宋体"/>
                <w:kern w:val="0"/>
                <w:szCs w:val="21"/>
              </w:rPr>
              <w:t>20≤X＜300</w:t>
            </w:r>
          </w:p>
        </w:tc>
        <w:tc>
          <w:tcPr>
            <w:tcW w:w="966" w:type="dxa"/>
            <w:tcBorders>
              <w:top w:val="nil"/>
              <w:left w:val="nil"/>
              <w:bottom w:val="single" w:color="auto" w:sz="4" w:space="0"/>
              <w:right w:val="single" w:color="auto" w:sz="4" w:space="0"/>
            </w:tcBorders>
            <w:noWrap w:val="0"/>
            <w:vAlign w:val="center"/>
          </w:tcPr>
          <w:p w14:paraId="56B0300A">
            <w:pPr>
              <w:widowControl/>
              <w:jc w:val="left"/>
              <w:rPr>
                <w:rFonts w:ascii="宋体" w:hAnsi="宋体" w:cs="宋体"/>
                <w:kern w:val="0"/>
                <w:szCs w:val="21"/>
              </w:rPr>
            </w:pPr>
            <w:r>
              <w:rPr>
                <w:rFonts w:hint="eastAsia" w:ascii="宋体" w:hAnsi="宋体" w:cs="宋体"/>
                <w:kern w:val="0"/>
                <w:szCs w:val="21"/>
              </w:rPr>
              <w:t>X＜20</w:t>
            </w:r>
          </w:p>
        </w:tc>
      </w:tr>
      <w:tr w14:paraId="632FF27B">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0BA0490A">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49AD5760">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4103DD0D">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53FA50E6">
            <w:pPr>
              <w:widowControl/>
              <w:jc w:val="left"/>
              <w:rPr>
                <w:rFonts w:ascii="宋体" w:hAnsi="宋体" w:cs="宋体"/>
                <w:kern w:val="0"/>
                <w:szCs w:val="21"/>
              </w:rPr>
            </w:pPr>
            <w:r>
              <w:rPr>
                <w:rFonts w:hint="eastAsia" w:ascii="宋体" w:hAnsi="宋体" w:cs="宋体"/>
                <w:kern w:val="0"/>
                <w:szCs w:val="21"/>
              </w:rPr>
              <w:t>2000≤Y＜40000</w:t>
            </w:r>
          </w:p>
        </w:tc>
        <w:tc>
          <w:tcPr>
            <w:tcW w:w="1956" w:type="dxa"/>
            <w:tcBorders>
              <w:top w:val="nil"/>
              <w:left w:val="nil"/>
              <w:bottom w:val="single" w:color="auto" w:sz="4" w:space="0"/>
              <w:right w:val="single" w:color="auto" w:sz="4" w:space="0"/>
            </w:tcBorders>
            <w:noWrap w:val="0"/>
            <w:vAlign w:val="center"/>
          </w:tcPr>
          <w:p w14:paraId="3A574A60">
            <w:pPr>
              <w:widowControl/>
              <w:jc w:val="left"/>
              <w:rPr>
                <w:rFonts w:ascii="宋体" w:hAnsi="宋体" w:cs="宋体"/>
                <w:kern w:val="0"/>
                <w:szCs w:val="21"/>
              </w:rPr>
            </w:pPr>
            <w:r>
              <w:rPr>
                <w:rFonts w:hint="eastAsia" w:ascii="宋体" w:hAnsi="宋体" w:cs="宋体"/>
                <w:kern w:val="0"/>
                <w:szCs w:val="21"/>
              </w:rPr>
              <w:t>300≤Y＜2000</w:t>
            </w:r>
          </w:p>
        </w:tc>
        <w:tc>
          <w:tcPr>
            <w:tcW w:w="966" w:type="dxa"/>
            <w:tcBorders>
              <w:top w:val="nil"/>
              <w:left w:val="nil"/>
              <w:bottom w:val="single" w:color="auto" w:sz="4" w:space="0"/>
              <w:right w:val="single" w:color="auto" w:sz="4" w:space="0"/>
            </w:tcBorders>
            <w:noWrap w:val="0"/>
            <w:vAlign w:val="center"/>
          </w:tcPr>
          <w:p w14:paraId="5988DE53">
            <w:pPr>
              <w:widowControl/>
              <w:jc w:val="left"/>
              <w:rPr>
                <w:rFonts w:ascii="宋体" w:hAnsi="宋体" w:cs="宋体"/>
                <w:kern w:val="0"/>
                <w:szCs w:val="21"/>
              </w:rPr>
            </w:pPr>
            <w:r>
              <w:rPr>
                <w:rFonts w:hint="eastAsia" w:ascii="宋体" w:hAnsi="宋体" w:cs="宋体"/>
                <w:kern w:val="0"/>
                <w:szCs w:val="21"/>
              </w:rPr>
              <w:t>Y＜300</w:t>
            </w:r>
          </w:p>
        </w:tc>
      </w:tr>
      <w:tr w14:paraId="7EB2FD8E">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48CAD9D5">
            <w:pPr>
              <w:widowControl/>
              <w:jc w:val="center"/>
              <w:rPr>
                <w:rFonts w:ascii="宋体" w:hAnsi="宋体" w:cs="宋体"/>
                <w:b/>
                <w:bCs/>
                <w:kern w:val="0"/>
                <w:szCs w:val="21"/>
              </w:rPr>
            </w:pPr>
            <w:r>
              <w:rPr>
                <w:rFonts w:hint="eastAsia" w:ascii="宋体" w:hAnsi="宋体" w:cs="宋体"/>
                <w:b/>
                <w:bCs/>
                <w:kern w:val="0"/>
                <w:szCs w:val="21"/>
              </w:rPr>
              <w:t>建筑业</w:t>
            </w:r>
          </w:p>
        </w:tc>
        <w:tc>
          <w:tcPr>
            <w:tcW w:w="1712" w:type="dxa"/>
            <w:tcBorders>
              <w:top w:val="nil"/>
              <w:left w:val="nil"/>
              <w:bottom w:val="single" w:color="auto" w:sz="4" w:space="0"/>
              <w:right w:val="single" w:color="auto" w:sz="4" w:space="0"/>
            </w:tcBorders>
            <w:noWrap w:val="0"/>
            <w:vAlign w:val="center"/>
          </w:tcPr>
          <w:p w14:paraId="76D0563C">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1E8003BD">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22825709">
            <w:pPr>
              <w:widowControl/>
              <w:jc w:val="left"/>
              <w:rPr>
                <w:rFonts w:ascii="宋体" w:hAnsi="宋体" w:cs="宋体"/>
                <w:kern w:val="0"/>
                <w:szCs w:val="21"/>
              </w:rPr>
            </w:pPr>
            <w:r>
              <w:rPr>
                <w:rFonts w:hint="eastAsia" w:ascii="宋体" w:hAnsi="宋体" w:cs="宋体"/>
                <w:kern w:val="0"/>
                <w:szCs w:val="21"/>
              </w:rPr>
              <w:t>6000≤Y＜80000</w:t>
            </w:r>
          </w:p>
        </w:tc>
        <w:tc>
          <w:tcPr>
            <w:tcW w:w="1956" w:type="dxa"/>
            <w:tcBorders>
              <w:top w:val="nil"/>
              <w:left w:val="nil"/>
              <w:bottom w:val="single" w:color="auto" w:sz="4" w:space="0"/>
              <w:right w:val="single" w:color="auto" w:sz="4" w:space="0"/>
            </w:tcBorders>
            <w:noWrap w:val="0"/>
            <w:vAlign w:val="center"/>
          </w:tcPr>
          <w:p w14:paraId="07798C8E">
            <w:pPr>
              <w:widowControl/>
              <w:jc w:val="left"/>
              <w:rPr>
                <w:rFonts w:ascii="宋体" w:hAnsi="宋体" w:cs="宋体"/>
                <w:kern w:val="0"/>
                <w:szCs w:val="21"/>
              </w:rPr>
            </w:pPr>
            <w:r>
              <w:rPr>
                <w:rFonts w:hint="eastAsia" w:ascii="宋体" w:hAnsi="宋体" w:cs="宋体"/>
                <w:kern w:val="0"/>
                <w:szCs w:val="21"/>
              </w:rPr>
              <w:t>300≤Y＜6000</w:t>
            </w:r>
          </w:p>
        </w:tc>
        <w:tc>
          <w:tcPr>
            <w:tcW w:w="966" w:type="dxa"/>
            <w:tcBorders>
              <w:top w:val="nil"/>
              <w:left w:val="nil"/>
              <w:bottom w:val="single" w:color="auto" w:sz="4" w:space="0"/>
              <w:right w:val="single" w:color="auto" w:sz="4" w:space="0"/>
            </w:tcBorders>
            <w:noWrap w:val="0"/>
            <w:vAlign w:val="center"/>
          </w:tcPr>
          <w:p w14:paraId="5DAE992A">
            <w:pPr>
              <w:widowControl/>
              <w:jc w:val="left"/>
              <w:rPr>
                <w:rFonts w:ascii="宋体" w:hAnsi="宋体" w:cs="宋体"/>
                <w:kern w:val="0"/>
                <w:szCs w:val="21"/>
              </w:rPr>
            </w:pPr>
            <w:r>
              <w:rPr>
                <w:rFonts w:hint="eastAsia" w:ascii="宋体" w:hAnsi="宋体" w:cs="宋体"/>
                <w:kern w:val="0"/>
                <w:szCs w:val="21"/>
              </w:rPr>
              <w:t>Y＜300</w:t>
            </w:r>
          </w:p>
        </w:tc>
      </w:tr>
      <w:tr w14:paraId="77A443FD">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13068ADA">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542DD2EF">
            <w:pPr>
              <w:widowControl/>
              <w:jc w:val="left"/>
              <w:rPr>
                <w:rFonts w:ascii="宋体" w:hAnsi="宋体" w:cs="宋体"/>
                <w:kern w:val="0"/>
                <w:szCs w:val="21"/>
              </w:rPr>
            </w:pPr>
            <w:r>
              <w:rPr>
                <w:rFonts w:hint="eastAsia" w:ascii="宋体" w:hAnsi="宋体" w:cs="宋体"/>
                <w:kern w:val="0"/>
                <w:szCs w:val="21"/>
              </w:rPr>
              <w:t>资产总额（Z）</w:t>
            </w:r>
          </w:p>
        </w:tc>
        <w:tc>
          <w:tcPr>
            <w:tcW w:w="740" w:type="dxa"/>
            <w:tcBorders>
              <w:top w:val="nil"/>
              <w:left w:val="nil"/>
              <w:bottom w:val="single" w:color="auto" w:sz="4" w:space="0"/>
              <w:right w:val="single" w:color="auto" w:sz="4" w:space="0"/>
            </w:tcBorders>
            <w:noWrap w:val="0"/>
            <w:vAlign w:val="center"/>
          </w:tcPr>
          <w:p w14:paraId="359BA9E2">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0945CAD0">
            <w:pPr>
              <w:widowControl/>
              <w:jc w:val="left"/>
              <w:rPr>
                <w:rFonts w:ascii="宋体" w:hAnsi="宋体" w:cs="宋体"/>
                <w:kern w:val="0"/>
                <w:szCs w:val="21"/>
              </w:rPr>
            </w:pPr>
            <w:r>
              <w:rPr>
                <w:rFonts w:hint="eastAsia" w:ascii="宋体" w:hAnsi="宋体" w:cs="宋体"/>
                <w:kern w:val="0"/>
                <w:szCs w:val="21"/>
              </w:rPr>
              <w:t>5000≤Z＜80000</w:t>
            </w:r>
          </w:p>
        </w:tc>
        <w:tc>
          <w:tcPr>
            <w:tcW w:w="1956" w:type="dxa"/>
            <w:tcBorders>
              <w:top w:val="nil"/>
              <w:left w:val="nil"/>
              <w:bottom w:val="single" w:color="auto" w:sz="4" w:space="0"/>
              <w:right w:val="single" w:color="auto" w:sz="4" w:space="0"/>
            </w:tcBorders>
            <w:noWrap w:val="0"/>
            <w:vAlign w:val="center"/>
          </w:tcPr>
          <w:p w14:paraId="3C37279A">
            <w:pPr>
              <w:widowControl/>
              <w:jc w:val="left"/>
              <w:rPr>
                <w:rFonts w:ascii="宋体" w:hAnsi="宋体" w:cs="宋体"/>
                <w:kern w:val="0"/>
                <w:szCs w:val="21"/>
              </w:rPr>
            </w:pPr>
            <w:r>
              <w:rPr>
                <w:rFonts w:hint="eastAsia" w:ascii="宋体" w:hAnsi="宋体" w:cs="宋体"/>
                <w:kern w:val="0"/>
                <w:szCs w:val="21"/>
              </w:rPr>
              <w:t>300≤Z＜5000</w:t>
            </w:r>
          </w:p>
        </w:tc>
        <w:tc>
          <w:tcPr>
            <w:tcW w:w="966" w:type="dxa"/>
            <w:tcBorders>
              <w:top w:val="nil"/>
              <w:left w:val="nil"/>
              <w:bottom w:val="single" w:color="auto" w:sz="4" w:space="0"/>
              <w:right w:val="single" w:color="auto" w:sz="4" w:space="0"/>
            </w:tcBorders>
            <w:noWrap w:val="0"/>
            <w:vAlign w:val="center"/>
          </w:tcPr>
          <w:p w14:paraId="2F3FDBCB">
            <w:pPr>
              <w:widowControl/>
              <w:jc w:val="left"/>
              <w:rPr>
                <w:rFonts w:ascii="宋体" w:hAnsi="宋体" w:cs="宋体"/>
                <w:kern w:val="0"/>
                <w:szCs w:val="21"/>
              </w:rPr>
            </w:pPr>
            <w:r>
              <w:rPr>
                <w:rFonts w:hint="eastAsia" w:ascii="宋体" w:hAnsi="宋体" w:cs="宋体"/>
                <w:kern w:val="0"/>
                <w:szCs w:val="21"/>
              </w:rPr>
              <w:t>Z＜300</w:t>
            </w:r>
          </w:p>
        </w:tc>
      </w:tr>
      <w:tr w14:paraId="05FE44E1">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5DC7F1A9">
            <w:pPr>
              <w:widowControl/>
              <w:jc w:val="center"/>
              <w:rPr>
                <w:rFonts w:ascii="宋体" w:hAnsi="宋体" w:cs="宋体"/>
                <w:b/>
                <w:bCs/>
                <w:kern w:val="0"/>
                <w:szCs w:val="21"/>
              </w:rPr>
            </w:pPr>
            <w:r>
              <w:rPr>
                <w:rFonts w:hint="eastAsia" w:ascii="宋体" w:hAnsi="宋体" w:cs="宋体"/>
                <w:b/>
                <w:bCs/>
                <w:kern w:val="0"/>
                <w:szCs w:val="21"/>
              </w:rPr>
              <w:t>批发业</w:t>
            </w:r>
          </w:p>
        </w:tc>
        <w:tc>
          <w:tcPr>
            <w:tcW w:w="1712" w:type="dxa"/>
            <w:tcBorders>
              <w:top w:val="nil"/>
              <w:left w:val="nil"/>
              <w:bottom w:val="single" w:color="auto" w:sz="4" w:space="0"/>
              <w:right w:val="single" w:color="auto" w:sz="4" w:space="0"/>
            </w:tcBorders>
            <w:noWrap w:val="0"/>
            <w:vAlign w:val="center"/>
          </w:tcPr>
          <w:p w14:paraId="330BA243">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5F633675">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56BE1876">
            <w:pPr>
              <w:widowControl/>
              <w:jc w:val="left"/>
              <w:rPr>
                <w:rFonts w:ascii="宋体" w:hAnsi="宋体" w:cs="宋体"/>
                <w:kern w:val="0"/>
                <w:szCs w:val="21"/>
              </w:rPr>
            </w:pPr>
            <w:r>
              <w:rPr>
                <w:rFonts w:hint="eastAsia" w:ascii="宋体" w:hAnsi="宋体" w:cs="宋体"/>
                <w:kern w:val="0"/>
                <w:szCs w:val="21"/>
              </w:rPr>
              <w:t>20≤X＜200</w:t>
            </w:r>
          </w:p>
        </w:tc>
        <w:tc>
          <w:tcPr>
            <w:tcW w:w="1956" w:type="dxa"/>
            <w:tcBorders>
              <w:top w:val="nil"/>
              <w:left w:val="nil"/>
              <w:bottom w:val="single" w:color="auto" w:sz="4" w:space="0"/>
              <w:right w:val="single" w:color="auto" w:sz="4" w:space="0"/>
            </w:tcBorders>
            <w:noWrap w:val="0"/>
            <w:vAlign w:val="center"/>
          </w:tcPr>
          <w:p w14:paraId="3B285F32">
            <w:pPr>
              <w:widowControl/>
              <w:jc w:val="left"/>
              <w:rPr>
                <w:rFonts w:ascii="宋体" w:hAnsi="宋体" w:cs="宋体"/>
                <w:kern w:val="0"/>
                <w:szCs w:val="21"/>
              </w:rPr>
            </w:pPr>
            <w:r>
              <w:rPr>
                <w:rFonts w:hint="eastAsia" w:ascii="宋体" w:hAnsi="宋体" w:cs="宋体"/>
                <w:kern w:val="0"/>
                <w:szCs w:val="21"/>
              </w:rPr>
              <w:t>5≤X＜20</w:t>
            </w:r>
          </w:p>
        </w:tc>
        <w:tc>
          <w:tcPr>
            <w:tcW w:w="966" w:type="dxa"/>
            <w:tcBorders>
              <w:top w:val="nil"/>
              <w:left w:val="nil"/>
              <w:bottom w:val="single" w:color="auto" w:sz="4" w:space="0"/>
              <w:right w:val="single" w:color="auto" w:sz="4" w:space="0"/>
            </w:tcBorders>
            <w:noWrap w:val="0"/>
            <w:vAlign w:val="center"/>
          </w:tcPr>
          <w:p w14:paraId="743722D5">
            <w:pPr>
              <w:widowControl/>
              <w:jc w:val="left"/>
              <w:rPr>
                <w:rFonts w:ascii="宋体" w:hAnsi="宋体" w:cs="宋体"/>
                <w:kern w:val="0"/>
                <w:szCs w:val="21"/>
              </w:rPr>
            </w:pPr>
            <w:r>
              <w:rPr>
                <w:rFonts w:hint="eastAsia" w:ascii="宋体" w:hAnsi="宋体" w:cs="宋体"/>
                <w:kern w:val="0"/>
                <w:szCs w:val="21"/>
              </w:rPr>
              <w:t>X＜5</w:t>
            </w:r>
          </w:p>
        </w:tc>
      </w:tr>
      <w:tr w14:paraId="17B33FEB">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0F3A98C7">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7F0E696F">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2E342616">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7D56DA37">
            <w:pPr>
              <w:widowControl/>
              <w:jc w:val="left"/>
              <w:rPr>
                <w:rFonts w:ascii="宋体" w:hAnsi="宋体" w:cs="宋体"/>
                <w:kern w:val="0"/>
                <w:szCs w:val="21"/>
              </w:rPr>
            </w:pPr>
            <w:r>
              <w:rPr>
                <w:rFonts w:hint="eastAsia" w:ascii="宋体" w:hAnsi="宋体" w:cs="宋体"/>
                <w:kern w:val="0"/>
                <w:szCs w:val="21"/>
              </w:rPr>
              <w:t>5000≤Y＜40000</w:t>
            </w:r>
          </w:p>
        </w:tc>
        <w:tc>
          <w:tcPr>
            <w:tcW w:w="1956" w:type="dxa"/>
            <w:tcBorders>
              <w:top w:val="nil"/>
              <w:left w:val="nil"/>
              <w:bottom w:val="single" w:color="auto" w:sz="4" w:space="0"/>
              <w:right w:val="single" w:color="auto" w:sz="4" w:space="0"/>
            </w:tcBorders>
            <w:noWrap w:val="0"/>
            <w:vAlign w:val="center"/>
          </w:tcPr>
          <w:p w14:paraId="5646F82A">
            <w:pPr>
              <w:widowControl/>
              <w:jc w:val="left"/>
              <w:rPr>
                <w:rFonts w:ascii="宋体" w:hAnsi="宋体" w:cs="宋体"/>
                <w:kern w:val="0"/>
                <w:szCs w:val="21"/>
              </w:rPr>
            </w:pPr>
            <w:r>
              <w:rPr>
                <w:rFonts w:hint="eastAsia" w:ascii="宋体" w:hAnsi="宋体" w:cs="宋体"/>
                <w:kern w:val="0"/>
                <w:szCs w:val="21"/>
              </w:rPr>
              <w:t>1000≤Y＜5000</w:t>
            </w:r>
          </w:p>
        </w:tc>
        <w:tc>
          <w:tcPr>
            <w:tcW w:w="966" w:type="dxa"/>
            <w:tcBorders>
              <w:top w:val="nil"/>
              <w:left w:val="nil"/>
              <w:bottom w:val="single" w:color="auto" w:sz="4" w:space="0"/>
              <w:right w:val="single" w:color="auto" w:sz="4" w:space="0"/>
            </w:tcBorders>
            <w:noWrap w:val="0"/>
            <w:vAlign w:val="center"/>
          </w:tcPr>
          <w:p w14:paraId="22494B74">
            <w:pPr>
              <w:widowControl/>
              <w:jc w:val="left"/>
              <w:rPr>
                <w:rFonts w:ascii="宋体" w:hAnsi="宋体" w:cs="宋体"/>
                <w:kern w:val="0"/>
                <w:szCs w:val="21"/>
              </w:rPr>
            </w:pPr>
            <w:r>
              <w:rPr>
                <w:rFonts w:hint="eastAsia" w:ascii="宋体" w:hAnsi="宋体" w:cs="宋体"/>
                <w:kern w:val="0"/>
                <w:szCs w:val="21"/>
              </w:rPr>
              <w:t>Y＜1000</w:t>
            </w:r>
          </w:p>
        </w:tc>
      </w:tr>
      <w:tr w14:paraId="2196827A">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275DCD4E">
            <w:pPr>
              <w:widowControl/>
              <w:jc w:val="center"/>
              <w:rPr>
                <w:rFonts w:ascii="宋体" w:hAnsi="宋体" w:cs="宋体"/>
                <w:b/>
                <w:bCs/>
                <w:kern w:val="0"/>
                <w:szCs w:val="21"/>
              </w:rPr>
            </w:pPr>
            <w:r>
              <w:rPr>
                <w:rFonts w:hint="eastAsia" w:ascii="宋体" w:hAnsi="宋体" w:cs="宋体"/>
                <w:b/>
                <w:bCs/>
                <w:kern w:val="0"/>
                <w:szCs w:val="21"/>
              </w:rPr>
              <w:t>零售业</w:t>
            </w:r>
          </w:p>
        </w:tc>
        <w:tc>
          <w:tcPr>
            <w:tcW w:w="1712" w:type="dxa"/>
            <w:tcBorders>
              <w:top w:val="nil"/>
              <w:left w:val="nil"/>
              <w:bottom w:val="single" w:color="auto" w:sz="4" w:space="0"/>
              <w:right w:val="single" w:color="auto" w:sz="4" w:space="0"/>
            </w:tcBorders>
            <w:noWrap w:val="0"/>
            <w:vAlign w:val="center"/>
          </w:tcPr>
          <w:p w14:paraId="4C97AC5E">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7224EE4E">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2C080DE2">
            <w:pPr>
              <w:widowControl/>
              <w:jc w:val="left"/>
              <w:rPr>
                <w:rFonts w:ascii="宋体" w:hAnsi="宋体" w:cs="宋体"/>
                <w:kern w:val="0"/>
                <w:szCs w:val="21"/>
              </w:rPr>
            </w:pPr>
            <w:r>
              <w:rPr>
                <w:rFonts w:hint="eastAsia" w:ascii="宋体" w:hAnsi="宋体" w:cs="宋体"/>
                <w:kern w:val="0"/>
                <w:szCs w:val="21"/>
              </w:rPr>
              <w:t>50≤X＜300</w:t>
            </w:r>
          </w:p>
        </w:tc>
        <w:tc>
          <w:tcPr>
            <w:tcW w:w="1956" w:type="dxa"/>
            <w:tcBorders>
              <w:top w:val="nil"/>
              <w:left w:val="nil"/>
              <w:bottom w:val="single" w:color="auto" w:sz="4" w:space="0"/>
              <w:right w:val="single" w:color="auto" w:sz="4" w:space="0"/>
            </w:tcBorders>
            <w:noWrap w:val="0"/>
            <w:vAlign w:val="center"/>
          </w:tcPr>
          <w:p w14:paraId="1151B845">
            <w:pPr>
              <w:widowControl/>
              <w:jc w:val="left"/>
              <w:rPr>
                <w:rFonts w:ascii="宋体" w:hAnsi="宋体" w:cs="宋体"/>
                <w:kern w:val="0"/>
                <w:szCs w:val="21"/>
              </w:rPr>
            </w:pPr>
            <w:r>
              <w:rPr>
                <w:rFonts w:hint="eastAsia" w:ascii="宋体" w:hAnsi="宋体" w:cs="宋体"/>
                <w:kern w:val="0"/>
                <w:szCs w:val="21"/>
              </w:rPr>
              <w:t>10≤X＜50</w:t>
            </w:r>
          </w:p>
        </w:tc>
        <w:tc>
          <w:tcPr>
            <w:tcW w:w="966" w:type="dxa"/>
            <w:tcBorders>
              <w:top w:val="nil"/>
              <w:left w:val="nil"/>
              <w:bottom w:val="single" w:color="auto" w:sz="4" w:space="0"/>
              <w:right w:val="single" w:color="auto" w:sz="4" w:space="0"/>
            </w:tcBorders>
            <w:noWrap w:val="0"/>
            <w:vAlign w:val="center"/>
          </w:tcPr>
          <w:p w14:paraId="50843E72">
            <w:pPr>
              <w:widowControl/>
              <w:jc w:val="left"/>
              <w:rPr>
                <w:rFonts w:ascii="宋体" w:hAnsi="宋体" w:cs="宋体"/>
                <w:kern w:val="0"/>
                <w:szCs w:val="21"/>
              </w:rPr>
            </w:pPr>
            <w:r>
              <w:rPr>
                <w:rFonts w:hint="eastAsia" w:ascii="宋体" w:hAnsi="宋体" w:cs="宋体"/>
                <w:kern w:val="0"/>
                <w:szCs w:val="21"/>
              </w:rPr>
              <w:t>X＜10</w:t>
            </w:r>
          </w:p>
        </w:tc>
      </w:tr>
      <w:tr w14:paraId="6EFBBBB8">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382DA413">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3649A877">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416FB8E1">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3B8D917D">
            <w:pPr>
              <w:widowControl/>
              <w:jc w:val="left"/>
              <w:rPr>
                <w:rFonts w:ascii="宋体" w:hAnsi="宋体" w:cs="宋体"/>
                <w:kern w:val="0"/>
                <w:szCs w:val="21"/>
              </w:rPr>
            </w:pPr>
            <w:r>
              <w:rPr>
                <w:rFonts w:hint="eastAsia" w:ascii="宋体" w:hAnsi="宋体" w:cs="宋体"/>
                <w:kern w:val="0"/>
                <w:szCs w:val="21"/>
              </w:rPr>
              <w:t>500≤Y＜20000</w:t>
            </w:r>
          </w:p>
        </w:tc>
        <w:tc>
          <w:tcPr>
            <w:tcW w:w="1956" w:type="dxa"/>
            <w:tcBorders>
              <w:top w:val="nil"/>
              <w:left w:val="nil"/>
              <w:bottom w:val="single" w:color="auto" w:sz="4" w:space="0"/>
              <w:right w:val="single" w:color="auto" w:sz="4" w:space="0"/>
            </w:tcBorders>
            <w:noWrap w:val="0"/>
            <w:vAlign w:val="center"/>
          </w:tcPr>
          <w:p w14:paraId="62AD1794">
            <w:pPr>
              <w:widowControl/>
              <w:jc w:val="left"/>
              <w:rPr>
                <w:rFonts w:ascii="宋体" w:hAnsi="宋体" w:cs="宋体"/>
                <w:kern w:val="0"/>
                <w:szCs w:val="21"/>
              </w:rPr>
            </w:pPr>
            <w:r>
              <w:rPr>
                <w:rFonts w:hint="eastAsia" w:ascii="宋体" w:hAnsi="宋体" w:cs="宋体"/>
                <w:kern w:val="0"/>
                <w:szCs w:val="21"/>
              </w:rPr>
              <w:t>100≤Y＜500</w:t>
            </w:r>
          </w:p>
        </w:tc>
        <w:tc>
          <w:tcPr>
            <w:tcW w:w="966" w:type="dxa"/>
            <w:tcBorders>
              <w:top w:val="nil"/>
              <w:left w:val="nil"/>
              <w:bottom w:val="single" w:color="auto" w:sz="4" w:space="0"/>
              <w:right w:val="single" w:color="auto" w:sz="4" w:space="0"/>
            </w:tcBorders>
            <w:noWrap w:val="0"/>
            <w:vAlign w:val="center"/>
          </w:tcPr>
          <w:p w14:paraId="2D10B1FD">
            <w:pPr>
              <w:widowControl/>
              <w:jc w:val="left"/>
              <w:rPr>
                <w:rFonts w:ascii="宋体" w:hAnsi="宋体" w:cs="宋体"/>
                <w:kern w:val="0"/>
                <w:szCs w:val="21"/>
              </w:rPr>
            </w:pPr>
            <w:r>
              <w:rPr>
                <w:rFonts w:hint="eastAsia" w:ascii="宋体" w:hAnsi="宋体" w:cs="宋体"/>
                <w:kern w:val="0"/>
                <w:szCs w:val="21"/>
              </w:rPr>
              <w:t>Y＜100</w:t>
            </w:r>
          </w:p>
        </w:tc>
      </w:tr>
      <w:tr w14:paraId="242FDC3C">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1E47AAC4">
            <w:pPr>
              <w:widowControl/>
              <w:jc w:val="center"/>
              <w:rPr>
                <w:rFonts w:ascii="宋体" w:hAnsi="宋体" w:cs="宋体"/>
                <w:b/>
                <w:bCs/>
                <w:kern w:val="0"/>
                <w:szCs w:val="21"/>
              </w:rPr>
            </w:pPr>
            <w:r>
              <w:rPr>
                <w:rFonts w:hint="eastAsia" w:ascii="宋体" w:hAnsi="宋体" w:cs="宋体"/>
                <w:b/>
                <w:bCs/>
                <w:kern w:val="0"/>
                <w:szCs w:val="21"/>
              </w:rPr>
              <w:t>交通运输业</w:t>
            </w:r>
          </w:p>
        </w:tc>
        <w:tc>
          <w:tcPr>
            <w:tcW w:w="1712" w:type="dxa"/>
            <w:tcBorders>
              <w:top w:val="nil"/>
              <w:left w:val="nil"/>
              <w:bottom w:val="single" w:color="auto" w:sz="4" w:space="0"/>
              <w:right w:val="single" w:color="auto" w:sz="4" w:space="0"/>
            </w:tcBorders>
            <w:noWrap w:val="0"/>
            <w:vAlign w:val="center"/>
          </w:tcPr>
          <w:p w14:paraId="5AA1684A">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4832F577">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1500A628">
            <w:pPr>
              <w:widowControl/>
              <w:jc w:val="left"/>
              <w:rPr>
                <w:rFonts w:ascii="宋体" w:hAnsi="宋体" w:cs="宋体"/>
                <w:kern w:val="0"/>
                <w:szCs w:val="21"/>
              </w:rPr>
            </w:pPr>
            <w:r>
              <w:rPr>
                <w:rFonts w:hint="eastAsia" w:ascii="宋体" w:hAnsi="宋体" w:cs="宋体"/>
                <w:kern w:val="0"/>
                <w:szCs w:val="21"/>
              </w:rPr>
              <w:t>300≤X＜1000</w:t>
            </w:r>
          </w:p>
        </w:tc>
        <w:tc>
          <w:tcPr>
            <w:tcW w:w="1956" w:type="dxa"/>
            <w:tcBorders>
              <w:top w:val="nil"/>
              <w:left w:val="nil"/>
              <w:bottom w:val="single" w:color="auto" w:sz="4" w:space="0"/>
              <w:right w:val="single" w:color="auto" w:sz="4" w:space="0"/>
            </w:tcBorders>
            <w:noWrap w:val="0"/>
            <w:vAlign w:val="center"/>
          </w:tcPr>
          <w:p w14:paraId="756EC4AD">
            <w:pPr>
              <w:widowControl/>
              <w:jc w:val="left"/>
              <w:rPr>
                <w:rFonts w:ascii="宋体" w:hAnsi="宋体" w:cs="宋体"/>
                <w:kern w:val="0"/>
                <w:szCs w:val="21"/>
              </w:rPr>
            </w:pPr>
            <w:r>
              <w:rPr>
                <w:rFonts w:hint="eastAsia" w:ascii="宋体" w:hAnsi="宋体" w:cs="宋体"/>
                <w:kern w:val="0"/>
                <w:szCs w:val="21"/>
              </w:rPr>
              <w:t>20≤X＜300</w:t>
            </w:r>
          </w:p>
        </w:tc>
        <w:tc>
          <w:tcPr>
            <w:tcW w:w="966" w:type="dxa"/>
            <w:tcBorders>
              <w:top w:val="nil"/>
              <w:left w:val="nil"/>
              <w:bottom w:val="single" w:color="auto" w:sz="4" w:space="0"/>
              <w:right w:val="single" w:color="auto" w:sz="4" w:space="0"/>
            </w:tcBorders>
            <w:noWrap w:val="0"/>
            <w:vAlign w:val="center"/>
          </w:tcPr>
          <w:p w14:paraId="007498DC">
            <w:pPr>
              <w:widowControl/>
              <w:jc w:val="left"/>
              <w:rPr>
                <w:rFonts w:ascii="宋体" w:hAnsi="宋体" w:cs="宋体"/>
                <w:kern w:val="0"/>
                <w:szCs w:val="21"/>
              </w:rPr>
            </w:pPr>
            <w:r>
              <w:rPr>
                <w:rFonts w:hint="eastAsia" w:ascii="宋体" w:hAnsi="宋体" w:cs="宋体"/>
                <w:kern w:val="0"/>
                <w:szCs w:val="21"/>
              </w:rPr>
              <w:t>X＜20</w:t>
            </w:r>
          </w:p>
        </w:tc>
      </w:tr>
      <w:tr w14:paraId="4A99D12D">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564C5654">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0B39461D">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17718180">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4C28E092">
            <w:pPr>
              <w:widowControl/>
              <w:jc w:val="left"/>
              <w:rPr>
                <w:rFonts w:ascii="宋体" w:hAnsi="宋体" w:cs="宋体"/>
                <w:kern w:val="0"/>
                <w:szCs w:val="21"/>
              </w:rPr>
            </w:pPr>
            <w:r>
              <w:rPr>
                <w:rFonts w:hint="eastAsia" w:ascii="宋体" w:hAnsi="宋体" w:cs="宋体"/>
                <w:kern w:val="0"/>
                <w:szCs w:val="21"/>
              </w:rPr>
              <w:t>3000≤Y＜30000</w:t>
            </w:r>
          </w:p>
        </w:tc>
        <w:tc>
          <w:tcPr>
            <w:tcW w:w="1956" w:type="dxa"/>
            <w:tcBorders>
              <w:top w:val="nil"/>
              <w:left w:val="nil"/>
              <w:bottom w:val="single" w:color="auto" w:sz="4" w:space="0"/>
              <w:right w:val="single" w:color="auto" w:sz="4" w:space="0"/>
            </w:tcBorders>
            <w:noWrap w:val="0"/>
            <w:vAlign w:val="center"/>
          </w:tcPr>
          <w:p w14:paraId="6067FA06">
            <w:pPr>
              <w:widowControl/>
              <w:jc w:val="left"/>
              <w:rPr>
                <w:rFonts w:ascii="宋体" w:hAnsi="宋体" w:cs="宋体"/>
                <w:kern w:val="0"/>
                <w:szCs w:val="21"/>
              </w:rPr>
            </w:pPr>
            <w:r>
              <w:rPr>
                <w:rFonts w:hint="eastAsia" w:ascii="宋体" w:hAnsi="宋体" w:cs="宋体"/>
                <w:kern w:val="0"/>
                <w:szCs w:val="21"/>
              </w:rPr>
              <w:t>200≤Y＜3000</w:t>
            </w:r>
          </w:p>
        </w:tc>
        <w:tc>
          <w:tcPr>
            <w:tcW w:w="966" w:type="dxa"/>
            <w:tcBorders>
              <w:top w:val="nil"/>
              <w:left w:val="nil"/>
              <w:bottom w:val="single" w:color="auto" w:sz="4" w:space="0"/>
              <w:right w:val="single" w:color="auto" w:sz="4" w:space="0"/>
            </w:tcBorders>
            <w:noWrap w:val="0"/>
            <w:vAlign w:val="center"/>
          </w:tcPr>
          <w:p w14:paraId="0C525211">
            <w:pPr>
              <w:widowControl/>
              <w:jc w:val="left"/>
              <w:rPr>
                <w:rFonts w:ascii="宋体" w:hAnsi="宋体" w:cs="宋体"/>
                <w:kern w:val="0"/>
                <w:szCs w:val="21"/>
              </w:rPr>
            </w:pPr>
            <w:r>
              <w:rPr>
                <w:rFonts w:hint="eastAsia" w:ascii="宋体" w:hAnsi="宋体" w:cs="宋体"/>
                <w:kern w:val="0"/>
                <w:szCs w:val="21"/>
              </w:rPr>
              <w:t>Y＜200</w:t>
            </w:r>
          </w:p>
        </w:tc>
      </w:tr>
      <w:tr w14:paraId="728EC5DC">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5D2907DF">
            <w:pPr>
              <w:widowControl/>
              <w:jc w:val="center"/>
              <w:rPr>
                <w:rFonts w:ascii="宋体" w:hAnsi="宋体" w:cs="宋体"/>
                <w:b/>
                <w:bCs/>
                <w:kern w:val="0"/>
                <w:szCs w:val="21"/>
              </w:rPr>
            </w:pPr>
            <w:r>
              <w:rPr>
                <w:rFonts w:hint="eastAsia" w:ascii="宋体" w:hAnsi="宋体" w:cs="宋体"/>
                <w:b/>
                <w:bCs/>
                <w:kern w:val="0"/>
                <w:szCs w:val="21"/>
              </w:rPr>
              <w:t>仓储业</w:t>
            </w:r>
          </w:p>
        </w:tc>
        <w:tc>
          <w:tcPr>
            <w:tcW w:w="1712" w:type="dxa"/>
            <w:tcBorders>
              <w:top w:val="nil"/>
              <w:left w:val="nil"/>
              <w:bottom w:val="single" w:color="auto" w:sz="4" w:space="0"/>
              <w:right w:val="single" w:color="auto" w:sz="4" w:space="0"/>
            </w:tcBorders>
            <w:noWrap w:val="0"/>
            <w:vAlign w:val="center"/>
          </w:tcPr>
          <w:p w14:paraId="67A318B2">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1828A73C">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3403EF18">
            <w:pPr>
              <w:widowControl/>
              <w:jc w:val="left"/>
              <w:rPr>
                <w:rFonts w:ascii="宋体" w:hAnsi="宋体" w:cs="宋体"/>
                <w:kern w:val="0"/>
                <w:szCs w:val="21"/>
              </w:rPr>
            </w:pPr>
            <w:r>
              <w:rPr>
                <w:rFonts w:hint="eastAsia" w:ascii="宋体" w:hAnsi="宋体" w:cs="宋体"/>
                <w:kern w:val="0"/>
                <w:szCs w:val="21"/>
              </w:rPr>
              <w:t>100≤X＜200</w:t>
            </w:r>
          </w:p>
        </w:tc>
        <w:tc>
          <w:tcPr>
            <w:tcW w:w="1956" w:type="dxa"/>
            <w:tcBorders>
              <w:top w:val="nil"/>
              <w:left w:val="nil"/>
              <w:bottom w:val="single" w:color="auto" w:sz="4" w:space="0"/>
              <w:right w:val="single" w:color="auto" w:sz="4" w:space="0"/>
            </w:tcBorders>
            <w:noWrap w:val="0"/>
            <w:vAlign w:val="center"/>
          </w:tcPr>
          <w:p w14:paraId="7D42CDDA">
            <w:pPr>
              <w:widowControl/>
              <w:jc w:val="left"/>
              <w:rPr>
                <w:rFonts w:ascii="宋体" w:hAnsi="宋体" w:cs="宋体"/>
                <w:kern w:val="0"/>
                <w:szCs w:val="21"/>
              </w:rPr>
            </w:pPr>
            <w:r>
              <w:rPr>
                <w:rFonts w:hint="eastAsia" w:ascii="宋体" w:hAnsi="宋体" w:cs="宋体"/>
                <w:kern w:val="0"/>
                <w:szCs w:val="21"/>
              </w:rPr>
              <w:t>20≤X＜100</w:t>
            </w:r>
          </w:p>
        </w:tc>
        <w:tc>
          <w:tcPr>
            <w:tcW w:w="966" w:type="dxa"/>
            <w:tcBorders>
              <w:top w:val="nil"/>
              <w:left w:val="nil"/>
              <w:bottom w:val="single" w:color="auto" w:sz="4" w:space="0"/>
              <w:right w:val="single" w:color="auto" w:sz="4" w:space="0"/>
            </w:tcBorders>
            <w:noWrap w:val="0"/>
            <w:vAlign w:val="center"/>
          </w:tcPr>
          <w:p w14:paraId="44B743C1">
            <w:pPr>
              <w:widowControl/>
              <w:jc w:val="left"/>
              <w:rPr>
                <w:rFonts w:ascii="宋体" w:hAnsi="宋体" w:cs="宋体"/>
                <w:kern w:val="0"/>
                <w:szCs w:val="21"/>
              </w:rPr>
            </w:pPr>
            <w:r>
              <w:rPr>
                <w:rFonts w:hint="eastAsia" w:ascii="宋体" w:hAnsi="宋体" w:cs="宋体"/>
                <w:kern w:val="0"/>
                <w:szCs w:val="21"/>
              </w:rPr>
              <w:t>X＜20</w:t>
            </w:r>
          </w:p>
        </w:tc>
      </w:tr>
      <w:tr w14:paraId="04216FFD">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4C0FA9B0">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46F7382C">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1BC84302">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5CF839FB">
            <w:pPr>
              <w:widowControl/>
              <w:jc w:val="left"/>
              <w:rPr>
                <w:rFonts w:ascii="宋体" w:hAnsi="宋体" w:cs="宋体"/>
                <w:kern w:val="0"/>
                <w:szCs w:val="21"/>
              </w:rPr>
            </w:pPr>
            <w:r>
              <w:rPr>
                <w:rFonts w:hint="eastAsia" w:ascii="宋体" w:hAnsi="宋体" w:cs="宋体"/>
                <w:kern w:val="0"/>
                <w:szCs w:val="21"/>
              </w:rPr>
              <w:t>1000≤Y＜30000</w:t>
            </w:r>
          </w:p>
        </w:tc>
        <w:tc>
          <w:tcPr>
            <w:tcW w:w="1956" w:type="dxa"/>
            <w:tcBorders>
              <w:top w:val="nil"/>
              <w:left w:val="nil"/>
              <w:bottom w:val="single" w:color="auto" w:sz="4" w:space="0"/>
              <w:right w:val="single" w:color="auto" w:sz="4" w:space="0"/>
            </w:tcBorders>
            <w:noWrap w:val="0"/>
            <w:vAlign w:val="center"/>
          </w:tcPr>
          <w:p w14:paraId="24AA8798">
            <w:pPr>
              <w:widowControl/>
              <w:jc w:val="left"/>
              <w:rPr>
                <w:rFonts w:ascii="宋体" w:hAnsi="宋体" w:cs="宋体"/>
                <w:kern w:val="0"/>
                <w:szCs w:val="21"/>
              </w:rPr>
            </w:pPr>
            <w:r>
              <w:rPr>
                <w:rFonts w:hint="eastAsia" w:ascii="宋体" w:hAnsi="宋体" w:cs="宋体"/>
                <w:kern w:val="0"/>
                <w:szCs w:val="21"/>
              </w:rPr>
              <w:t>100≤Y＜1000</w:t>
            </w:r>
          </w:p>
        </w:tc>
        <w:tc>
          <w:tcPr>
            <w:tcW w:w="966" w:type="dxa"/>
            <w:tcBorders>
              <w:top w:val="nil"/>
              <w:left w:val="nil"/>
              <w:bottom w:val="single" w:color="auto" w:sz="4" w:space="0"/>
              <w:right w:val="single" w:color="auto" w:sz="4" w:space="0"/>
            </w:tcBorders>
            <w:noWrap w:val="0"/>
            <w:vAlign w:val="center"/>
          </w:tcPr>
          <w:p w14:paraId="775DCA57">
            <w:pPr>
              <w:widowControl/>
              <w:jc w:val="left"/>
              <w:rPr>
                <w:rFonts w:ascii="宋体" w:hAnsi="宋体" w:cs="宋体"/>
                <w:kern w:val="0"/>
                <w:szCs w:val="21"/>
              </w:rPr>
            </w:pPr>
            <w:r>
              <w:rPr>
                <w:rFonts w:hint="eastAsia" w:ascii="宋体" w:hAnsi="宋体" w:cs="宋体"/>
                <w:kern w:val="0"/>
                <w:szCs w:val="21"/>
              </w:rPr>
              <w:t>Y＜100</w:t>
            </w:r>
          </w:p>
        </w:tc>
      </w:tr>
      <w:tr w14:paraId="1A52B9CF">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7654CF0F">
            <w:pPr>
              <w:widowControl/>
              <w:jc w:val="center"/>
              <w:rPr>
                <w:rFonts w:ascii="宋体" w:hAnsi="宋体" w:cs="宋体"/>
                <w:b/>
                <w:bCs/>
                <w:kern w:val="0"/>
                <w:szCs w:val="21"/>
              </w:rPr>
            </w:pPr>
            <w:r>
              <w:rPr>
                <w:rFonts w:hint="eastAsia" w:ascii="宋体" w:hAnsi="宋体" w:cs="宋体"/>
                <w:b/>
                <w:bCs/>
                <w:kern w:val="0"/>
                <w:szCs w:val="21"/>
              </w:rPr>
              <w:t>邮政业</w:t>
            </w:r>
          </w:p>
        </w:tc>
        <w:tc>
          <w:tcPr>
            <w:tcW w:w="1712" w:type="dxa"/>
            <w:tcBorders>
              <w:top w:val="nil"/>
              <w:left w:val="nil"/>
              <w:bottom w:val="single" w:color="auto" w:sz="4" w:space="0"/>
              <w:right w:val="single" w:color="auto" w:sz="4" w:space="0"/>
            </w:tcBorders>
            <w:noWrap w:val="0"/>
            <w:vAlign w:val="center"/>
          </w:tcPr>
          <w:p w14:paraId="5D3E1988">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09A9EE20">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5B4A6E3C">
            <w:pPr>
              <w:widowControl/>
              <w:jc w:val="left"/>
              <w:rPr>
                <w:rFonts w:ascii="宋体" w:hAnsi="宋体" w:cs="宋体"/>
                <w:kern w:val="0"/>
                <w:szCs w:val="21"/>
              </w:rPr>
            </w:pPr>
            <w:r>
              <w:rPr>
                <w:rFonts w:hint="eastAsia" w:ascii="宋体" w:hAnsi="宋体" w:cs="宋体"/>
                <w:kern w:val="0"/>
                <w:szCs w:val="21"/>
              </w:rPr>
              <w:t>300≤X＜1000</w:t>
            </w:r>
          </w:p>
        </w:tc>
        <w:tc>
          <w:tcPr>
            <w:tcW w:w="1956" w:type="dxa"/>
            <w:tcBorders>
              <w:top w:val="nil"/>
              <w:left w:val="nil"/>
              <w:bottom w:val="single" w:color="auto" w:sz="4" w:space="0"/>
              <w:right w:val="single" w:color="auto" w:sz="4" w:space="0"/>
            </w:tcBorders>
            <w:noWrap w:val="0"/>
            <w:vAlign w:val="center"/>
          </w:tcPr>
          <w:p w14:paraId="77F0074A">
            <w:pPr>
              <w:widowControl/>
              <w:jc w:val="left"/>
              <w:rPr>
                <w:rFonts w:ascii="宋体" w:hAnsi="宋体" w:cs="宋体"/>
                <w:kern w:val="0"/>
                <w:szCs w:val="21"/>
              </w:rPr>
            </w:pPr>
            <w:r>
              <w:rPr>
                <w:rFonts w:hint="eastAsia" w:ascii="宋体" w:hAnsi="宋体" w:cs="宋体"/>
                <w:kern w:val="0"/>
                <w:szCs w:val="21"/>
              </w:rPr>
              <w:t>20≤X＜300</w:t>
            </w:r>
          </w:p>
        </w:tc>
        <w:tc>
          <w:tcPr>
            <w:tcW w:w="966" w:type="dxa"/>
            <w:tcBorders>
              <w:top w:val="nil"/>
              <w:left w:val="nil"/>
              <w:bottom w:val="single" w:color="auto" w:sz="4" w:space="0"/>
              <w:right w:val="single" w:color="auto" w:sz="4" w:space="0"/>
            </w:tcBorders>
            <w:noWrap w:val="0"/>
            <w:vAlign w:val="center"/>
          </w:tcPr>
          <w:p w14:paraId="28B08A58">
            <w:pPr>
              <w:widowControl/>
              <w:jc w:val="left"/>
              <w:rPr>
                <w:rFonts w:ascii="宋体" w:hAnsi="宋体" w:cs="宋体"/>
                <w:kern w:val="0"/>
                <w:szCs w:val="21"/>
              </w:rPr>
            </w:pPr>
            <w:r>
              <w:rPr>
                <w:rFonts w:hint="eastAsia" w:ascii="宋体" w:hAnsi="宋体" w:cs="宋体"/>
                <w:kern w:val="0"/>
                <w:szCs w:val="21"/>
              </w:rPr>
              <w:t>X＜20</w:t>
            </w:r>
          </w:p>
        </w:tc>
      </w:tr>
      <w:tr w14:paraId="4958AD5F">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378CC7BC">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3239D2EC">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1EE6C1AC">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0E1FBD75">
            <w:pPr>
              <w:widowControl/>
              <w:jc w:val="left"/>
              <w:rPr>
                <w:rFonts w:ascii="宋体" w:hAnsi="宋体" w:cs="宋体"/>
                <w:kern w:val="0"/>
                <w:szCs w:val="21"/>
              </w:rPr>
            </w:pPr>
            <w:r>
              <w:rPr>
                <w:rFonts w:hint="eastAsia" w:ascii="宋体" w:hAnsi="宋体" w:cs="宋体"/>
                <w:kern w:val="0"/>
                <w:szCs w:val="21"/>
              </w:rPr>
              <w:t>2000≤Y＜30000</w:t>
            </w:r>
          </w:p>
        </w:tc>
        <w:tc>
          <w:tcPr>
            <w:tcW w:w="1956" w:type="dxa"/>
            <w:tcBorders>
              <w:top w:val="nil"/>
              <w:left w:val="nil"/>
              <w:bottom w:val="single" w:color="auto" w:sz="4" w:space="0"/>
              <w:right w:val="single" w:color="auto" w:sz="4" w:space="0"/>
            </w:tcBorders>
            <w:noWrap w:val="0"/>
            <w:vAlign w:val="center"/>
          </w:tcPr>
          <w:p w14:paraId="7278B59D">
            <w:pPr>
              <w:widowControl/>
              <w:jc w:val="left"/>
              <w:rPr>
                <w:rFonts w:ascii="宋体" w:hAnsi="宋体" w:cs="宋体"/>
                <w:kern w:val="0"/>
                <w:szCs w:val="21"/>
              </w:rPr>
            </w:pPr>
            <w:r>
              <w:rPr>
                <w:rFonts w:hint="eastAsia" w:ascii="宋体" w:hAnsi="宋体" w:cs="宋体"/>
                <w:kern w:val="0"/>
                <w:szCs w:val="21"/>
              </w:rPr>
              <w:t>100≤Y＜2000</w:t>
            </w:r>
          </w:p>
        </w:tc>
        <w:tc>
          <w:tcPr>
            <w:tcW w:w="966" w:type="dxa"/>
            <w:tcBorders>
              <w:top w:val="nil"/>
              <w:left w:val="nil"/>
              <w:bottom w:val="single" w:color="auto" w:sz="4" w:space="0"/>
              <w:right w:val="single" w:color="auto" w:sz="4" w:space="0"/>
            </w:tcBorders>
            <w:noWrap w:val="0"/>
            <w:vAlign w:val="center"/>
          </w:tcPr>
          <w:p w14:paraId="478A1EA2">
            <w:pPr>
              <w:widowControl/>
              <w:jc w:val="left"/>
              <w:rPr>
                <w:rFonts w:ascii="宋体" w:hAnsi="宋体" w:cs="宋体"/>
                <w:kern w:val="0"/>
                <w:szCs w:val="21"/>
              </w:rPr>
            </w:pPr>
            <w:r>
              <w:rPr>
                <w:rFonts w:hint="eastAsia" w:ascii="宋体" w:hAnsi="宋体" w:cs="宋体"/>
                <w:kern w:val="0"/>
                <w:szCs w:val="21"/>
              </w:rPr>
              <w:t>Y＜100</w:t>
            </w:r>
          </w:p>
        </w:tc>
      </w:tr>
      <w:tr w14:paraId="2A7F673E">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7DC1527F">
            <w:pPr>
              <w:widowControl/>
              <w:jc w:val="center"/>
              <w:rPr>
                <w:rFonts w:ascii="宋体" w:hAnsi="宋体" w:cs="宋体"/>
                <w:b/>
                <w:bCs/>
                <w:kern w:val="0"/>
                <w:szCs w:val="21"/>
              </w:rPr>
            </w:pPr>
            <w:r>
              <w:rPr>
                <w:rFonts w:hint="eastAsia" w:ascii="宋体" w:hAnsi="宋体" w:cs="宋体"/>
                <w:b/>
                <w:bCs/>
                <w:kern w:val="0"/>
                <w:szCs w:val="21"/>
              </w:rPr>
              <w:t>住宿业</w:t>
            </w:r>
          </w:p>
        </w:tc>
        <w:tc>
          <w:tcPr>
            <w:tcW w:w="1712" w:type="dxa"/>
            <w:tcBorders>
              <w:top w:val="nil"/>
              <w:left w:val="nil"/>
              <w:bottom w:val="single" w:color="auto" w:sz="4" w:space="0"/>
              <w:right w:val="single" w:color="auto" w:sz="4" w:space="0"/>
            </w:tcBorders>
            <w:noWrap w:val="0"/>
            <w:vAlign w:val="center"/>
          </w:tcPr>
          <w:p w14:paraId="18502AE3">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3C12FD02">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67A4DCBC">
            <w:pPr>
              <w:widowControl/>
              <w:jc w:val="left"/>
              <w:rPr>
                <w:rFonts w:ascii="宋体" w:hAnsi="宋体" w:cs="宋体"/>
                <w:kern w:val="0"/>
                <w:szCs w:val="21"/>
              </w:rPr>
            </w:pPr>
            <w:r>
              <w:rPr>
                <w:rFonts w:hint="eastAsia" w:ascii="宋体" w:hAnsi="宋体" w:cs="宋体"/>
                <w:kern w:val="0"/>
                <w:szCs w:val="21"/>
              </w:rPr>
              <w:t>100≤X＜300</w:t>
            </w:r>
          </w:p>
        </w:tc>
        <w:tc>
          <w:tcPr>
            <w:tcW w:w="1956" w:type="dxa"/>
            <w:tcBorders>
              <w:top w:val="nil"/>
              <w:left w:val="nil"/>
              <w:bottom w:val="single" w:color="auto" w:sz="4" w:space="0"/>
              <w:right w:val="single" w:color="auto" w:sz="4" w:space="0"/>
            </w:tcBorders>
            <w:noWrap w:val="0"/>
            <w:vAlign w:val="center"/>
          </w:tcPr>
          <w:p w14:paraId="460FC95A">
            <w:pPr>
              <w:widowControl/>
              <w:jc w:val="left"/>
              <w:rPr>
                <w:rFonts w:ascii="宋体" w:hAnsi="宋体" w:cs="宋体"/>
                <w:kern w:val="0"/>
                <w:szCs w:val="21"/>
              </w:rPr>
            </w:pPr>
            <w:r>
              <w:rPr>
                <w:rFonts w:hint="eastAsia" w:ascii="宋体" w:hAnsi="宋体" w:cs="宋体"/>
                <w:kern w:val="0"/>
                <w:szCs w:val="21"/>
              </w:rPr>
              <w:t>10≤X＜100</w:t>
            </w:r>
          </w:p>
        </w:tc>
        <w:tc>
          <w:tcPr>
            <w:tcW w:w="966" w:type="dxa"/>
            <w:tcBorders>
              <w:top w:val="nil"/>
              <w:left w:val="nil"/>
              <w:bottom w:val="single" w:color="auto" w:sz="4" w:space="0"/>
              <w:right w:val="single" w:color="auto" w:sz="4" w:space="0"/>
            </w:tcBorders>
            <w:noWrap w:val="0"/>
            <w:vAlign w:val="center"/>
          </w:tcPr>
          <w:p w14:paraId="4C65000C">
            <w:pPr>
              <w:widowControl/>
              <w:jc w:val="left"/>
              <w:rPr>
                <w:rFonts w:ascii="宋体" w:hAnsi="宋体" w:cs="宋体"/>
                <w:kern w:val="0"/>
                <w:szCs w:val="21"/>
              </w:rPr>
            </w:pPr>
            <w:r>
              <w:rPr>
                <w:rFonts w:hint="eastAsia" w:ascii="宋体" w:hAnsi="宋体" w:cs="宋体"/>
                <w:kern w:val="0"/>
                <w:szCs w:val="21"/>
              </w:rPr>
              <w:t>X＜10</w:t>
            </w:r>
          </w:p>
        </w:tc>
      </w:tr>
      <w:tr w14:paraId="7279448D">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555D1C90">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612635E5">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1A37E243">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4636BE86">
            <w:pPr>
              <w:widowControl/>
              <w:jc w:val="left"/>
              <w:rPr>
                <w:rFonts w:ascii="宋体" w:hAnsi="宋体" w:cs="宋体"/>
                <w:kern w:val="0"/>
                <w:szCs w:val="21"/>
              </w:rPr>
            </w:pPr>
            <w:r>
              <w:rPr>
                <w:rFonts w:hint="eastAsia" w:ascii="宋体" w:hAnsi="宋体" w:cs="宋体"/>
                <w:kern w:val="0"/>
                <w:szCs w:val="21"/>
              </w:rPr>
              <w:t>2000≤Y＜10000</w:t>
            </w:r>
          </w:p>
        </w:tc>
        <w:tc>
          <w:tcPr>
            <w:tcW w:w="1956" w:type="dxa"/>
            <w:tcBorders>
              <w:top w:val="nil"/>
              <w:left w:val="nil"/>
              <w:bottom w:val="single" w:color="auto" w:sz="4" w:space="0"/>
              <w:right w:val="single" w:color="auto" w:sz="4" w:space="0"/>
            </w:tcBorders>
            <w:noWrap w:val="0"/>
            <w:vAlign w:val="center"/>
          </w:tcPr>
          <w:p w14:paraId="0776D1C9">
            <w:pPr>
              <w:widowControl/>
              <w:jc w:val="left"/>
              <w:rPr>
                <w:rFonts w:ascii="宋体" w:hAnsi="宋体" w:cs="宋体"/>
                <w:kern w:val="0"/>
                <w:szCs w:val="21"/>
              </w:rPr>
            </w:pPr>
            <w:r>
              <w:rPr>
                <w:rFonts w:hint="eastAsia" w:ascii="宋体" w:hAnsi="宋体" w:cs="宋体"/>
                <w:kern w:val="0"/>
                <w:szCs w:val="21"/>
              </w:rPr>
              <w:t>100≤Y＜2000</w:t>
            </w:r>
          </w:p>
        </w:tc>
        <w:tc>
          <w:tcPr>
            <w:tcW w:w="966" w:type="dxa"/>
            <w:tcBorders>
              <w:top w:val="nil"/>
              <w:left w:val="nil"/>
              <w:bottom w:val="single" w:color="auto" w:sz="4" w:space="0"/>
              <w:right w:val="single" w:color="auto" w:sz="4" w:space="0"/>
            </w:tcBorders>
            <w:noWrap w:val="0"/>
            <w:vAlign w:val="center"/>
          </w:tcPr>
          <w:p w14:paraId="58A93F8C">
            <w:pPr>
              <w:widowControl/>
              <w:jc w:val="left"/>
              <w:rPr>
                <w:rFonts w:ascii="宋体" w:hAnsi="宋体" w:cs="宋体"/>
                <w:kern w:val="0"/>
                <w:szCs w:val="21"/>
              </w:rPr>
            </w:pPr>
            <w:r>
              <w:rPr>
                <w:rFonts w:hint="eastAsia" w:ascii="宋体" w:hAnsi="宋体" w:cs="宋体"/>
                <w:kern w:val="0"/>
                <w:szCs w:val="21"/>
              </w:rPr>
              <w:t>Y＜100</w:t>
            </w:r>
          </w:p>
        </w:tc>
      </w:tr>
      <w:tr w14:paraId="313BD376">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640D4696">
            <w:pPr>
              <w:widowControl/>
              <w:jc w:val="center"/>
              <w:rPr>
                <w:rFonts w:ascii="宋体" w:hAnsi="宋体" w:cs="宋体"/>
                <w:b/>
                <w:bCs/>
                <w:kern w:val="0"/>
                <w:szCs w:val="21"/>
              </w:rPr>
            </w:pPr>
            <w:r>
              <w:rPr>
                <w:rFonts w:hint="eastAsia" w:ascii="宋体" w:hAnsi="宋体" w:cs="宋体"/>
                <w:b/>
                <w:bCs/>
                <w:kern w:val="0"/>
                <w:szCs w:val="21"/>
              </w:rPr>
              <w:t>餐饮业</w:t>
            </w:r>
          </w:p>
        </w:tc>
        <w:tc>
          <w:tcPr>
            <w:tcW w:w="1712" w:type="dxa"/>
            <w:tcBorders>
              <w:top w:val="nil"/>
              <w:left w:val="nil"/>
              <w:bottom w:val="single" w:color="auto" w:sz="4" w:space="0"/>
              <w:right w:val="single" w:color="auto" w:sz="4" w:space="0"/>
            </w:tcBorders>
            <w:noWrap w:val="0"/>
            <w:vAlign w:val="center"/>
          </w:tcPr>
          <w:p w14:paraId="25F44AE8">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01D03543">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4DC6E4B9">
            <w:pPr>
              <w:widowControl/>
              <w:jc w:val="left"/>
              <w:rPr>
                <w:rFonts w:ascii="宋体" w:hAnsi="宋体" w:cs="宋体"/>
                <w:kern w:val="0"/>
                <w:szCs w:val="21"/>
              </w:rPr>
            </w:pPr>
            <w:r>
              <w:rPr>
                <w:rFonts w:hint="eastAsia" w:ascii="宋体" w:hAnsi="宋体" w:cs="宋体"/>
                <w:kern w:val="0"/>
                <w:szCs w:val="21"/>
              </w:rPr>
              <w:t>100≤X＜300</w:t>
            </w:r>
          </w:p>
        </w:tc>
        <w:tc>
          <w:tcPr>
            <w:tcW w:w="1956" w:type="dxa"/>
            <w:tcBorders>
              <w:top w:val="nil"/>
              <w:left w:val="nil"/>
              <w:bottom w:val="single" w:color="auto" w:sz="4" w:space="0"/>
              <w:right w:val="single" w:color="auto" w:sz="4" w:space="0"/>
            </w:tcBorders>
            <w:noWrap w:val="0"/>
            <w:vAlign w:val="center"/>
          </w:tcPr>
          <w:p w14:paraId="7A37B002">
            <w:pPr>
              <w:widowControl/>
              <w:jc w:val="left"/>
              <w:rPr>
                <w:rFonts w:ascii="宋体" w:hAnsi="宋体" w:cs="宋体"/>
                <w:kern w:val="0"/>
                <w:szCs w:val="21"/>
              </w:rPr>
            </w:pPr>
            <w:r>
              <w:rPr>
                <w:rFonts w:hint="eastAsia" w:ascii="宋体" w:hAnsi="宋体" w:cs="宋体"/>
                <w:kern w:val="0"/>
                <w:szCs w:val="21"/>
              </w:rPr>
              <w:t>10≤X＜100</w:t>
            </w:r>
          </w:p>
        </w:tc>
        <w:tc>
          <w:tcPr>
            <w:tcW w:w="966" w:type="dxa"/>
            <w:tcBorders>
              <w:top w:val="nil"/>
              <w:left w:val="nil"/>
              <w:bottom w:val="single" w:color="auto" w:sz="4" w:space="0"/>
              <w:right w:val="single" w:color="auto" w:sz="4" w:space="0"/>
            </w:tcBorders>
            <w:noWrap w:val="0"/>
            <w:vAlign w:val="center"/>
          </w:tcPr>
          <w:p w14:paraId="1224EFE9">
            <w:pPr>
              <w:widowControl/>
              <w:jc w:val="left"/>
              <w:rPr>
                <w:rFonts w:ascii="宋体" w:hAnsi="宋体" w:cs="宋体"/>
                <w:kern w:val="0"/>
                <w:szCs w:val="21"/>
              </w:rPr>
            </w:pPr>
            <w:r>
              <w:rPr>
                <w:rFonts w:hint="eastAsia" w:ascii="宋体" w:hAnsi="宋体" w:cs="宋体"/>
                <w:kern w:val="0"/>
                <w:szCs w:val="21"/>
              </w:rPr>
              <w:t>X＜10</w:t>
            </w:r>
          </w:p>
        </w:tc>
      </w:tr>
      <w:tr w14:paraId="16AEA6D6">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62DD946F">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5D39F237">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18AFB55F">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40037549">
            <w:pPr>
              <w:widowControl/>
              <w:jc w:val="left"/>
              <w:rPr>
                <w:rFonts w:ascii="宋体" w:hAnsi="宋体" w:cs="宋体"/>
                <w:kern w:val="0"/>
                <w:szCs w:val="21"/>
              </w:rPr>
            </w:pPr>
            <w:r>
              <w:rPr>
                <w:rFonts w:hint="eastAsia" w:ascii="宋体" w:hAnsi="宋体" w:cs="宋体"/>
                <w:kern w:val="0"/>
                <w:szCs w:val="21"/>
              </w:rPr>
              <w:t>2000≤Y＜10000</w:t>
            </w:r>
          </w:p>
        </w:tc>
        <w:tc>
          <w:tcPr>
            <w:tcW w:w="1956" w:type="dxa"/>
            <w:tcBorders>
              <w:top w:val="nil"/>
              <w:left w:val="nil"/>
              <w:bottom w:val="single" w:color="auto" w:sz="4" w:space="0"/>
              <w:right w:val="single" w:color="auto" w:sz="4" w:space="0"/>
            </w:tcBorders>
            <w:noWrap w:val="0"/>
            <w:vAlign w:val="center"/>
          </w:tcPr>
          <w:p w14:paraId="5B43675B">
            <w:pPr>
              <w:widowControl/>
              <w:jc w:val="left"/>
              <w:rPr>
                <w:rFonts w:ascii="宋体" w:hAnsi="宋体" w:cs="宋体"/>
                <w:kern w:val="0"/>
                <w:szCs w:val="21"/>
              </w:rPr>
            </w:pPr>
            <w:r>
              <w:rPr>
                <w:rFonts w:hint="eastAsia" w:ascii="宋体" w:hAnsi="宋体" w:cs="宋体"/>
                <w:kern w:val="0"/>
                <w:szCs w:val="21"/>
              </w:rPr>
              <w:t>100≤Y＜2000</w:t>
            </w:r>
          </w:p>
        </w:tc>
        <w:tc>
          <w:tcPr>
            <w:tcW w:w="966" w:type="dxa"/>
            <w:tcBorders>
              <w:top w:val="nil"/>
              <w:left w:val="nil"/>
              <w:bottom w:val="single" w:color="auto" w:sz="4" w:space="0"/>
              <w:right w:val="single" w:color="auto" w:sz="4" w:space="0"/>
            </w:tcBorders>
            <w:noWrap w:val="0"/>
            <w:vAlign w:val="center"/>
          </w:tcPr>
          <w:p w14:paraId="2A43E736">
            <w:pPr>
              <w:widowControl/>
              <w:jc w:val="left"/>
              <w:rPr>
                <w:rFonts w:ascii="宋体" w:hAnsi="宋体" w:cs="宋体"/>
                <w:kern w:val="0"/>
                <w:szCs w:val="21"/>
              </w:rPr>
            </w:pPr>
            <w:r>
              <w:rPr>
                <w:rFonts w:hint="eastAsia" w:ascii="宋体" w:hAnsi="宋体" w:cs="宋体"/>
                <w:kern w:val="0"/>
                <w:szCs w:val="21"/>
              </w:rPr>
              <w:t>Y＜100</w:t>
            </w:r>
          </w:p>
        </w:tc>
      </w:tr>
      <w:tr w14:paraId="2B7451E3">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316CF45C">
            <w:pPr>
              <w:widowControl/>
              <w:jc w:val="center"/>
              <w:rPr>
                <w:rFonts w:ascii="宋体" w:hAnsi="宋体" w:cs="宋体"/>
                <w:b/>
                <w:bCs/>
                <w:kern w:val="0"/>
                <w:szCs w:val="21"/>
              </w:rPr>
            </w:pPr>
            <w:r>
              <w:rPr>
                <w:rFonts w:hint="eastAsia" w:ascii="宋体" w:hAnsi="宋体" w:cs="宋体"/>
                <w:b/>
                <w:bCs/>
                <w:kern w:val="0"/>
                <w:szCs w:val="21"/>
              </w:rPr>
              <w:t>信息传输业</w:t>
            </w:r>
          </w:p>
        </w:tc>
        <w:tc>
          <w:tcPr>
            <w:tcW w:w="1712" w:type="dxa"/>
            <w:tcBorders>
              <w:top w:val="nil"/>
              <w:left w:val="nil"/>
              <w:bottom w:val="single" w:color="auto" w:sz="4" w:space="0"/>
              <w:right w:val="single" w:color="auto" w:sz="4" w:space="0"/>
            </w:tcBorders>
            <w:noWrap w:val="0"/>
            <w:vAlign w:val="center"/>
          </w:tcPr>
          <w:p w14:paraId="7CBB2646">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56C3D2AB">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785732D9">
            <w:pPr>
              <w:widowControl/>
              <w:jc w:val="left"/>
              <w:rPr>
                <w:rFonts w:ascii="宋体" w:hAnsi="宋体" w:cs="宋体"/>
                <w:kern w:val="0"/>
                <w:szCs w:val="21"/>
              </w:rPr>
            </w:pPr>
            <w:r>
              <w:rPr>
                <w:rFonts w:hint="eastAsia" w:ascii="宋体" w:hAnsi="宋体" w:cs="宋体"/>
                <w:kern w:val="0"/>
                <w:szCs w:val="21"/>
              </w:rPr>
              <w:t>100≤X＜2000</w:t>
            </w:r>
          </w:p>
        </w:tc>
        <w:tc>
          <w:tcPr>
            <w:tcW w:w="1956" w:type="dxa"/>
            <w:tcBorders>
              <w:top w:val="nil"/>
              <w:left w:val="nil"/>
              <w:bottom w:val="single" w:color="auto" w:sz="4" w:space="0"/>
              <w:right w:val="single" w:color="auto" w:sz="4" w:space="0"/>
            </w:tcBorders>
            <w:noWrap w:val="0"/>
            <w:vAlign w:val="center"/>
          </w:tcPr>
          <w:p w14:paraId="740F1445">
            <w:pPr>
              <w:widowControl/>
              <w:jc w:val="left"/>
              <w:rPr>
                <w:rFonts w:ascii="宋体" w:hAnsi="宋体" w:cs="宋体"/>
                <w:kern w:val="0"/>
                <w:szCs w:val="21"/>
              </w:rPr>
            </w:pPr>
            <w:r>
              <w:rPr>
                <w:rFonts w:hint="eastAsia" w:ascii="宋体" w:hAnsi="宋体" w:cs="宋体"/>
                <w:kern w:val="0"/>
                <w:szCs w:val="21"/>
              </w:rPr>
              <w:t>10≤X＜100</w:t>
            </w:r>
          </w:p>
        </w:tc>
        <w:tc>
          <w:tcPr>
            <w:tcW w:w="966" w:type="dxa"/>
            <w:tcBorders>
              <w:top w:val="nil"/>
              <w:left w:val="nil"/>
              <w:bottom w:val="single" w:color="auto" w:sz="4" w:space="0"/>
              <w:right w:val="single" w:color="auto" w:sz="4" w:space="0"/>
            </w:tcBorders>
            <w:noWrap w:val="0"/>
            <w:vAlign w:val="center"/>
          </w:tcPr>
          <w:p w14:paraId="6FB0FC2A">
            <w:pPr>
              <w:widowControl/>
              <w:jc w:val="left"/>
              <w:rPr>
                <w:rFonts w:ascii="宋体" w:hAnsi="宋体" w:cs="宋体"/>
                <w:kern w:val="0"/>
                <w:szCs w:val="21"/>
              </w:rPr>
            </w:pPr>
            <w:r>
              <w:rPr>
                <w:rFonts w:hint="eastAsia" w:ascii="宋体" w:hAnsi="宋体" w:cs="宋体"/>
                <w:kern w:val="0"/>
                <w:szCs w:val="21"/>
              </w:rPr>
              <w:t>X＜10</w:t>
            </w:r>
          </w:p>
        </w:tc>
      </w:tr>
      <w:tr w14:paraId="5885ECAA">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570DDF0F">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3A8023D9">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0A28061D">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7880800A">
            <w:pPr>
              <w:widowControl/>
              <w:jc w:val="left"/>
              <w:rPr>
                <w:rFonts w:ascii="宋体" w:hAnsi="宋体" w:cs="宋体"/>
                <w:kern w:val="0"/>
                <w:szCs w:val="21"/>
              </w:rPr>
            </w:pPr>
            <w:r>
              <w:rPr>
                <w:rFonts w:hint="eastAsia" w:ascii="宋体" w:hAnsi="宋体" w:cs="宋体"/>
                <w:kern w:val="0"/>
                <w:szCs w:val="21"/>
              </w:rPr>
              <w:t>1000≤Y＜100000</w:t>
            </w:r>
          </w:p>
        </w:tc>
        <w:tc>
          <w:tcPr>
            <w:tcW w:w="1956" w:type="dxa"/>
            <w:tcBorders>
              <w:top w:val="nil"/>
              <w:left w:val="nil"/>
              <w:bottom w:val="single" w:color="auto" w:sz="4" w:space="0"/>
              <w:right w:val="single" w:color="auto" w:sz="4" w:space="0"/>
            </w:tcBorders>
            <w:noWrap w:val="0"/>
            <w:vAlign w:val="center"/>
          </w:tcPr>
          <w:p w14:paraId="709CE188">
            <w:pPr>
              <w:widowControl/>
              <w:jc w:val="left"/>
              <w:rPr>
                <w:rFonts w:ascii="宋体" w:hAnsi="宋体" w:cs="宋体"/>
                <w:kern w:val="0"/>
                <w:szCs w:val="21"/>
              </w:rPr>
            </w:pPr>
            <w:r>
              <w:rPr>
                <w:rFonts w:hint="eastAsia" w:ascii="宋体" w:hAnsi="宋体" w:cs="宋体"/>
                <w:kern w:val="0"/>
                <w:szCs w:val="21"/>
              </w:rPr>
              <w:t>100≤Y＜1000</w:t>
            </w:r>
          </w:p>
        </w:tc>
        <w:tc>
          <w:tcPr>
            <w:tcW w:w="966" w:type="dxa"/>
            <w:tcBorders>
              <w:top w:val="nil"/>
              <w:left w:val="nil"/>
              <w:bottom w:val="single" w:color="auto" w:sz="4" w:space="0"/>
              <w:right w:val="single" w:color="auto" w:sz="4" w:space="0"/>
            </w:tcBorders>
            <w:noWrap w:val="0"/>
            <w:vAlign w:val="center"/>
          </w:tcPr>
          <w:p w14:paraId="3B6922B0">
            <w:pPr>
              <w:widowControl/>
              <w:jc w:val="left"/>
              <w:rPr>
                <w:rFonts w:ascii="宋体" w:hAnsi="宋体" w:cs="宋体"/>
                <w:kern w:val="0"/>
                <w:szCs w:val="21"/>
              </w:rPr>
            </w:pPr>
            <w:r>
              <w:rPr>
                <w:rFonts w:hint="eastAsia" w:ascii="宋体" w:hAnsi="宋体" w:cs="宋体"/>
                <w:kern w:val="0"/>
                <w:szCs w:val="21"/>
              </w:rPr>
              <w:t>Y＜100</w:t>
            </w:r>
          </w:p>
        </w:tc>
      </w:tr>
      <w:tr w14:paraId="1F07F5E5">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130E4633">
            <w:pPr>
              <w:widowControl/>
              <w:jc w:val="center"/>
              <w:rPr>
                <w:rFonts w:ascii="宋体" w:hAnsi="宋体" w:cs="宋体"/>
                <w:b/>
                <w:bCs/>
                <w:kern w:val="0"/>
                <w:szCs w:val="21"/>
              </w:rPr>
            </w:pPr>
            <w:r>
              <w:rPr>
                <w:rFonts w:hint="eastAsia" w:ascii="宋体" w:hAnsi="宋体" w:cs="宋体"/>
                <w:b/>
                <w:bCs/>
                <w:kern w:val="0"/>
                <w:szCs w:val="21"/>
              </w:rPr>
              <w:t>软件和信息技术服务业</w:t>
            </w:r>
          </w:p>
        </w:tc>
        <w:tc>
          <w:tcPr>
            <w:tcW w:w="1712" w:type="dxa"/>
            <w:tcBorders>
              <w:top w:val="nil"/>
              <w:left w:val="nil"/>
              <w:bottom w:val="single" w:color="auto" w:sz="4" w:space="0"/>
              <w:right w:val="single" w:color="auto" w:sz="4" w:space="0"/>
            </w:tcBorders>
            <w:noWrap w:val="0"/>
            <w:vAlign w:val="center"/>
          </w:tcPr>
          <w:p w14:paraId="21A267CE">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62E2000E">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64BD6B8E">
            <w:pPr>
              <w:widowControl/>
              <w:jc w:val="left"/>
              <w:rPr>
                <w:rFonts w:ascii="宋体" w:hAnsi="宋体" w:cs="宋体"/>
                <w:kern w:val="0"/>
                <w:szCs w:val="21"/>
              </w:rPr>
            </w:pPr>
            <w:r>
              <w:rPr>
                <w:rFonts w:hint="eastAsia" w:ascii="宋体" w:hAnsi="宋体" w:cs="宋体"/>
                <w:kern w:val="0"/>
                <w:szCs w:val="21"/>
              </w:rPr>
              <w:t>100≤X＜300</w:t>
            </w:r>
          </w:p>
        </w:tc>
        <w:tc>
          <w:tcPr>
            <w:tcW w:w="1956" w:type="dxa"/>
            <w:tcBorders>
              <w:top w:val="nil"/>
              <w:left w:val="nil"/>
              <w:bottom w:val="single" w:color="auto" w:sz="4" w:space="0"/>
              <w:right w:val="single" w:color="auto" w:sz="4" w:space="0"/>
            </w:tcBorders>
            <w:noWrap w:val="0"/>
            <w:vAlign w:val="center"/>
          </w:tcPr>
          <w:p w14:paraId="30CBC450">
            <w:pPr>
              <w:widowControl/>
              <w:jc w:val="left"/>
              <w:rPr>
                <w:rFonts w:ascii="宋体" w:hAnsi="宋体" w:cs="宋体"/>
                <w:kern w:val="0"/>
                <w:szCs w:val="21"/>
              </w:rPr>
            </w:pPr>
            <w:r>
              <w:rPr>
                <w:rFonts w:hint="eastAsia" w:ascii="宋体" w:hAnsi="宋体" w:cs="宋体"/>
                <w:kern w:val="0"/>
                <w:szCs w:val="21"/>
              </w:rPr>
              <w:t>10≤X＜100</w:t>
            </w:r>
          </w:p>
        </w:tc>
        <w:tc>
          <w:tcPr>
            <w:tcW w:w="966" w:type="dxa"/>
            <w:tcBorders>
              <w:top w:val="nil"/>
              <w:left w:val="nil"/>
              <w:bottom w:val="single" w:color="auto" w:sz="4" w:space="0"/>
              <w:right w:val="single" w:color="auto" w:sz="4" w:space="0"/>
            </w:tcBorders>
            <w:noWrap w:val="0"/>
            <w:vAlign w:val="center"/>
          </w:tcPr>
          <w:p w14:paraId="14E6D078">
            <w:pPr>
              <w:widowControl/>
              <w:jc w:val="left"/>
              <w:rPr>
                <w:rFonts w:ascii="宋体" w:hAnsi="宋体" w:cs="宋体"/>
                <w:kern w:val="0"/>
                <w:szCs w:val="21"/>
              </w:rPr>
            </w:pPr>
            <w:r>
              <w:rPr>
                <w:rFonts w:hint="eastAsia" w:ascii="宋体" w:hAnsi="宋体" w:cs="宋体"/>
                <w:kern w:val="0"/>
                <w:szCs w:val="21"/>
              </w:rPr>
              <w:t>X＜10</w:t>
            </w:r>
          </w:p>
        </w:tc>
      </w:tr>
      <w:tr w14:paraId="42415281">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0796BB78">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00943C74">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03F86E0F">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13C1000F">
            <w:pPr>
              <w:widowControl/>
              <w:jc w:val="left"/>
              <w:rPr>
                <w:rFonts w:ascii="宋体" w:hAnsi="宋体" w:cs="宋体"/>
                <w:kern w:val="0"/>
                <w:szCs w:val="21"/>
              </w:rPr>
            </w:pPr>
            <w:r>
              <w:rPr>
                <w:rFonts w:hint="eastAsia" w:ascii="宋体" w:hAnsi="宋体" w:cs="宋体"/>
                <w:kern w:val="0"/>
                <w:szCs w:val="21"/>
              </w:rPr>
              <w:t>1000≤Y＜10000</w:t>
            </w:r>
          </w:p>
        </w:tc>
        <w:tc>
          <w:tcPr>
            <w:tcW w:w="1956" w:type="dxa"/>
            <w:tcBorders>
              <w:top w:val="nil"/>
              <w:left w:val="nil"/>
              <w:bottom w:val="single" w:color="auto" w:sz="4" w:space="0"/>
              <w:right w:val="single" w:color="auto" w:sz="4" w:space="0"/>
            </w:tcBorders>
            <w:noWrap w:val="0"/>
            <w:vAlign w:val="center"/>
          </w:tcPr>
          <w:p w14:paraId="34692E12">
            <w:pPr>
              <w:widowControl/>
              <w:jc w:val="left"/>
              <w:rPr>
                <w:rFonts w:ascii="宋体" w:hAnsi="宋体" w:cs="宋体"/>
                <w:kern w:val="0"/>
                <w:szCs w:val="21"/>
              </w:rPr>
            </w:pPr>
            <w:r>
              <w:rPr>
                <w:rFonts w:hint="eastAsia" w:ascii="宋体" w:hAnsi="宋体" w:cs="宋体"/>
                <w:kern w:val="0"/>
                <w:szCs w:val="21"/>
              </w:rPr>
              <w:t>50≤Y＜1000</w:t>
            </w:r>
          </w:p>
        </w:tc>
        <w:tc>
          <w:tcPr>
            <w:tcW w:w="966" w:type="dxa"/>
            <w:tcBorders>
              <w:top w:val="nil"/>
              <w:left w:val="nil"/>
              <w:bottom w:val="single" w:color="auto" w:sz="4" w:space="0"/>
              <w:right w:val="single" w:color="auto" w:sz="4" w:space="0"/>
            </w:tcBorders>
            <w:noWrap w:val="0"/>
            <w:vAlign w:val="center"/>
          </w:tcPr>
          <w:p w14:paraId="7ABCC765">
            <w:pPr>
              <w:widowControl/>
              <w:jc w:val="left"/>
              <w:rPr>
                <w:rFonts w:ascii="宋体" w:hAnsi="宋体" w:cs="宋体"/>
                <w:kern w:val="0"/>
                <w:szCs w:val="21"/>
              </w:rPr>
            </w:pPr>
            <w:r>
              <w:rPr>
                <w:rFonts w:hint="eastAsia" w:ascii="宋体" w:hAnsi="宋体" w:cs="宋体"/>
                <w:kern w:val="0"/>
                <w:szCs w:val="21"/>
              </w:rPr>
              <w:t>Y＜50</w:t>
            </w:r>
          </w:p>
        </w:tc>
      </w:tr>
      <w:tr w14:paraId="3AD56025">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4922D93C">
            <w:pPr>
              <w:widowControl/>
              <w:jc w:val="center"/>
              <w:rPr>
                <w:rFonts w:ascii="宋体" w:hAnsi="宋体" w:cs="宋体"/>
                <w:b/>
                <w:bCs/>
                <w:kern w:val="0"/>
                <w:szCs w:val="21"/>
              </w:rPr>
            </w:pPr>
            <w:r>
              <w:rPr>
                <w:rFonts w:hint="eastAsia" w:ascii="宋体" w:hAnsi="宋体" w:cs="宋体"/>
                <w:b/>
                <w:bCs/>
                <w:kern w:val="0"/>
                <w:szCs w:val="21"/>
              </w:rPr>
              <w:t>房地产开发经营</w:t>
            </w:r>
          </w:p>
        </w:tc>
        <w:tc>
          <w:tcPr>
            <w:tcW w:w="1712" w:type="dxa"/>
            <w:tcBorders>
              <w:top w:val="nil"/>
              <w:left w:val="nil"/>
              <w:bottom w:val="single" w:color="auto" w:sz="4" w:space="0"/>
              <w:right w:val="single" w:color="auto" w:sz="4" w:space="0"/>
            </w:tcBorders>
            <w:noWrap w:val="0"/>
            <w:vAlign w:val="center"/>
          </w:tcPr>
          <w:p w14:paraId="0768C74E">
            <w:pPr>
              <w:widowControl/>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199EDA55">
            <w:pPr>
              <w:widowControl/>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39C87D76">
            <w:pPr>
              <w:widowControl/>
              <w:rPr>
                <w:rFonts w:ascii="宋体" w:hAnsi="宋体" w:cs="宋体"/>
                <w:kern w:val="0"/>
                <w:szCs w:val="21"/>
              </w:rPr>
            </w:pPr>
            <w:r>
              <w:rPr>
                <w:rFonts w:hint="eastAsia" w:ascii="宋体" w:hAnsi="宋体" w:cs="宋体"/>
                <w:kern w:val="0"/>
                <w:szCs w:val="21"/>
              </w:rPr>
              <w:t>1000≤Y＜200000</w:t>
            </w:r>
          </w:p>
        </w:tc>
        <w:tc>
          <w:tcPr>
            <w:tcW w:w="1956" w:type="dxa"/>
            <w:tcBorders>
              <w:top w:val="nil"/>
              <w:left w:val="nil"/>
              <w:bottom w:val="single" w:color="auto" w:sz="4" w:space="0"/>
              <w:right w:val="single" w:color="auto" w:sz="4" w:space="0"/>
            </w:tcBorders>
            <w:noWrap w:val="0"/>
            <w:vAlign w:val="center"/>
          </w:tcPr>
          <w:p w14:paraId="753534AE">
            <w:pPr>
              <w:widowControl/>
              <w:rPr>
                <w:rFonts w:ascii="宋体" w:hAnsi="宋体" w:cs="宋体"/>
                <w:kern w:val="0"/>
                <w:szCs w:val="21"/>
              </w:rPr>
            </w:pPr>
            <w:r>
              <w:rPr>
                <w:rFonts w:hint="eastAsia" w:ascii="宋体" w:hAnsi="宋体" w:cs="宋体"/>
                <w:kern w:val="0"/>
                <w:szCs w:val="21"/>
              </w:rPr>
              <w:t>100≤X＜1000</w:t>
            </w:r>
          </w:p>
        </w:tc>
        <w:tc>
          <w:tcPr>
            <w:tcW w:w="966" w:type="dxa"/>
            <w:tcBorders>
              <w:top w:val="nil"/>
              <w:left w:val="nil"/>
              <w:bottom w:val="single" w:color="auto" w:sz="4" w:space="0"/>
              <w:right w:val="single" w:color="auto" w:sz="4" w:space="0"/>
            </w:tcBorders>
            <w:noWrap w:val="0"/>
            <w:vAlign w:val="center"/>
          </w:tcPr>
          <w:p w14:paraId="2CA3F435">
            <w:pPr>
              <w:widowControl/>
              <w:rPr>
                <w:rFonts w:ascii="宋体" w:hAnsi="宋体" w:cs="宋体"/>
                <w:kern w:val="0"/>
                <w:szCs w:val="21"/>
              </w:rPr>
            </w:pPr>
            <w:r>
              <w:rPr>
                <w:rFonts w:hint="eastAsia" w:ascii="宋体" w:hAnsi="宋体" w:cs="宋体"/>
                <w:kern w:val="0"/>
                <w:szCs w:val="21"/>
              </w:rPr>
              <w:t>X＜100</w:t>
            </w:r>
          </w:p>
        </w:tc>
      </w:tr>
      <w:tr w14:paraId="5475FC89">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7A7895EA">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5DAABECE">
            <w:pPr>
              <w:widowControl/>
              <w:rPr>
                <w:rFonts w:ascii="宋体" w:hAnsi="宋体" w:cs="宋体"/>
                <w:kern w:val="0"/>
                <w:szCs w:val="21"/>
              </w:rPr>
            </w:pPr>
            <w:r>
              <w:rPr>
                <w:rFonts w:hint="eastAsia" w:ascii="宋体" w:hAnsi="宋体" w:cs="宋体"/>
                <w:kern w:val="0"/>
                <w:szCs w:val="21"/>
              </w:rPr>
              <w:t>资产总额（Z）</w:t>
            </w:r>
          </w:p>
        </w:tc>
        <w:tc>
          <w:tcPr>
            <w:tcW w:w="740" w:type="dxa"/>
            <w:tcBorders>
              <w:top w:val="nil"/>
              <w:left w:val="nil"/>
              <w:bottom w:val="single" w:color="auto" w:sz="4" w:space="0"/>
              <w:right w:val="single" w:color="auto" w:sz="4" w:space="0"/>
            </w:tcBorders>
            <w:noWrap w:val="0"/>
            <w:vAlign w:val="center"/>
          </w:tcPr>
          <w:p w14:paraId="03B3D2BA">
            <w:pPr>
              <w:widowControl/>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2CECEBFE">
            <w:pPr>
              <w:widowControl/>
              <w:rPr>
                <w:rFonts w:ascii="宋体" w:hAnsi="宋体" w:cs="宋体"/>
                <w:kern w:val="0"/>
                <w:szCs w:val="21"/>
              </w:rPr>
            </w:pPr>
            <w:r>
              <w:rPr>
                <w:rFonts w:hint="eastAsia" w:ascii="宋体" w:hAnsi="宋体" w:cs="宋体"/>
                <w:kern w:val="0"/>
                <w:szCs w:val="21"/>
              </w:rPr>
              <w:t>5000≤Z＜10000</w:t>
            </w:r>
          </w:p>
        </w:tc>
        <w:tc>
          <w:tcPr>
            <w:tcW w:w="1956" w:type="dxa"/>
            <w:tcBorders>
              <w:top w:val="nil"/>
              <w:left w:val="nil"/>
              <w:bottom w:val="single" w:color="auto" w:sz="4" w:space="0"/>
              <w:right w:val="single" w:color="auto" w:sz="4" w:space="0"/>
            </w:tcBorders>
            <w:noWrap w:val="0"/>
            <w:vAlign w:val="center"/>
          </w:tcPr>
          <w:p w14:paraId="2374A331">
            <w:pPr>
              <w:widowControl/>
              <w:rPr>
                <w:rFonts w:ascii="宋体" w:hAnsi="宋体" w:cs="宋体"/>
                <w:kern w:val="0"/>
                <w:szCs w:val="21"/>
              </w:rPr>
            </w:pPr>
            <w:r>
              <w:rPr>
                <w:rFonts w:hint="eastAsia" w:ascii="宋体" w:hAnsi="宋体" w:cs="宋体"/>
                <w:kern w:val="0"/>
                <w:szCs w:val="21"/>
              </w:rPr>
              <w:t>2000≤Y＜5000</w:t>
            </w:r>
          </w:p>
        </w:tc>
        <w:tc>
          <w:tcPr>
            <w:tcW w:w="966" w:type="dxa"/>
            <w:tcBorders>
              <w:top w:val="nil"/>
              <w:left w:val="nil"/>
              <w:bottom w:val="single" w:color="auto" w:sz="4" w:space="0"/>
              <w:right w:val="single" w:color="auto" w:sz="4" w:space="0"/>
            </w:tcBorders>
            <w:noWrap w:val="0"/>
            <w:vAlign w:val="center"/>
          </w:tcPr>
          <w:p w14:paraId="3AD64F9E">
            <w:pPr>
              <w:widowControl/>
              <w:rPr>
                <w:rFonts w:ascii="宋体" w:hAnsi="宋体" w:cs="宋体"/>
                <w:kern w:val="0"/>
                <w:szCs w:val="21"/>
              </w:rPr>
            </w:pPr>
            <w:r>
              <w:rPr>
                <w:rFonts w:hint="eastAsia" w:ascii="宋体" w:hAnsi="宋体" w:cs="宋体"/>
                <w:kern w:val="0"/>
                <w:szCs w:val="21"/>
              </w:rPr>
              <w:t>Y＜2000</w:t>
            </w:r>
          </w:p>
        </w:tc>
      </w:tr>
      <w:tr w14:paraId="586ABEE0">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5511C888">
            <w:pPr>
              <w:widowControl/>
              <w:jc w:val="center"/>
              <w:rPr>
                <w:rFonts w:ascii="宋体" w:hAnsi="宋体" w:cs="宋体"/>
                <w:b/>
                <w:bCs/>
                <w:kern w:val="0"/>
                <w:szCs w:val="21"/>
              </w:rPr>
            </w:pPr>
            <w:r>
              <w:rPr>
                <w:rFonts w:hint="eastAsia" w:ascii="宋体" w:hAnsi="宋体" w:cs="宋体"/>
                <w:b/>
                <w:bCs/>
                <w:kern w:val="0"/>
                <w:szCs w:val="21"/>
              </w:rPr>
              <w:t>物业管理</w:t>
            </w:r>
          </w:p>
        </w:tc>
        <w:tc>
          <w:tcPr>
            <w:tcW w:w="1712" w:type="dxa"/>
            <w:tcBorders>
              <w:top w:val="nil"/>
              <w:left w:val="nil"/>
              <w:bottom w:val="single" w:color="auto" w:sz="4" w:space="0"/>
              <w:right w:val="single" w:color="auto" w:sz="4" w:space="0"/>
            </w:tcBorders>
            <w:noWrap w:val="0"/>
            <w:vAlign w:val="center"/>
          </w:tcPr>
          <w:p w14:paraId="435252EB">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08D02A27">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14DD1D74">
            <w:pPr>
              <w:widowControl/>
              <w:jc w:val="left"/>
              <w:rPr>
                <w:rFonts w:ascii="宋体" w:hAnsi="宋体" w:cs="宋体"/>
                <w:kern w:val="0"/>
                <w:szCs w:val="21"/>
              </w:rPr>
            </w:pPr>
            <w:r>
              <w:rPr>
                <w:rFonts w:hint="eastAsia" w:ascii="宋体" w:hAnsi="宋体" w:cs="宋体"/>
                <w:kern w:val="0"/>
                <w:szCs w:val="21"/>
              </w:rPr>
              <w:t>300≤X＜1000</w:t>
            </w:r>
          </w:p>
        </w:tc>
        <w:tc>
          <w:tcPr>
            <w:tcW w:w="1956" w:type="dxa"/>
            <w:tcBorders>
              <w:top w:val="nil"/>
              <w:left w:val="nil"/>
              <w:bottom w:val="single" w:color="auto" w:sz="4" w:space="0"/>
              <w:right w:val="single" w:color="auto" w:sz="4" w:space="0"/>
            </w:tcBorders>
            <w:noWrap w:val="0"/>
            <w:vAlign w:val="center"/>
          </w:tcPr>
          <w:p w14:paraId="0F63486F">
            <w:pPr>
              <w:widowControl/>
              <w:jc w:val="left"/>
              <w:rPr>
                <w:rFonts w:ascii="宋体" w:hAnsi="宋体" w:cs="宋体"/>
                <w:kern w:val="0"/>
                <w:szCs w:val="21"/>
              </w:rPr>
            </w:pPr>
            <w:r>
              <w:rPr>
                <w:rFonts w:hint="eastAsia" w:ascii="宋体" w:hAnsi="宋体" w:cs="宋体"/>
                <w:kern w:val="0"/>
                <w:szCs w:val="21"/>
              </w:rPr>
              <w:t>100≤X＜300</w:t>
            </w:r>
          </w:p>
        </w:tc>
        <w:tc>
          <w:tcPr>
            <w:tcW w:w="966" w:type="dxa"/>
            <w:tcBorders>
              <w:top w:val="nil"/>
              <w:left w:val="nil"/>
              <w:bottom w:val="single" w:color="auto" w:sz="4" w:space="0"/>
              <w:right w:val="single" w:color="auto" w:sz="4" w:space="0"/>
            </w:tcBorders>
            <w:noWrap w:val="0"/>
            <w:vAlign w:val="center"/>
          </w:tcPr>
          <w:p w14:paraId="2554CCFB">
            <w:pPr>
              <w:widowControl/>
              <w:jc w:val="left"/>
              <w:rPr>
                <w:rFonts w:ascii="宋体" w:hAnsi="宋体" w:cs="宋体"/>
                <w:kern w:val="0"/>
                <w:szCs w:val="21"/>
              </w:rPr>
            </w:pPr>
            <w:r>
              <w:rPr>
                <w:rFonts w:hint="eastAsia" w:ascii="宋体" w:hAnsi="宋体" w:cs="宋体"/>
                <w:kern w:val="0"/>
                <w:szCs w:val="21"/>
              </w:rPr>
              <w:t>X＜100</w:t>
            </w:r>
          </w:p>
        </w:tc>
      </w:tr>
      <w:tr w14:paraId="7E6A8E1A">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0AA63544">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5AEE30EA">
            <w:pPr>
              <w:widowControl/>
              <w:jc w:val="left"/>
              <w:rPr>
                <w:rFonts w:ascii="宋体" w:hAnsi="宋体" w:cs="宋体"/>
                <w:kern w:val="0"/>
                <w:szCs w:val="21"/>
              </w:rPr>
            </w:pPr>
            <w:r>
              <w:rPr>
                <w:rFonts w:hint="eastAsia" w:ascii="宋体" w:hAnsi="宋体" w:cs="宋体"/>
                <w:kern w:val="0"/>
                <w:szCs w:val="21"/>
              </w:rPr>
              <w:t>营业收入（Y）</w:t>
            </w:r>
          </w:p>
        </w:tc>
        <w:tc>
          <w:tcPr>
            <w:tcW w:w="740" w:type="dxa"/>
            <w:tcBorders>
              <w:top w:val="nil"/>
              <w:left w:val="nil"/>
              <w:bottom w:val="single" w:color="auto" w:sz="4" w:space="0"/>
              <w:right w:val="single" w:color="auto" w:sz="4" w:space="0"/>
            </w:tcBorders>
            <w:noWrap w:val="0"/>
            <w:vAlign w:val="center"/>
          </w:tcPr>
          <w:p w14:paraId="68520C20">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18D5F73A">
            <w:pPr>
              <w:widowControl/>
              <w:jc w:val="left"/>
              <w:rPr>
                <w:rFonts w:ascii="宋体" w:hAnsi="宋体" w:cs="宋体"/>
                <w:kern w:val="0"/>
                <w:szCs w:val="21"/>
              </w:rPr>
            </w:pPr>
            <w:r>
              <w:rPr>
                <w:rFonts w:hint="eastAsia" w:ascii="宋体" w:hAnsi="宋体" w:cs="宋体"/>
                <w:kern w:val="0"/>
                <w:szCs w:val="21"/>
              </w:rPr>
              <w:t>1000≤Y＜5000</w:t>
            </w:r>
          </w:p>
        </w:tc>
        <w:tc>
          <w:tcPr>
            <w:tcW w:w="1956" w:type="dxa"/>
            <w:tcBorders>
              <w:top w:val="nil"/>
              <w:left w:val="nil"/>
              <w:bottom w:val="single" w:color="auto" w:sz="4" w:space="0"/>
              <w:right w:val="single" w:color="auto" w:sz="4" w:space="0"/>
            </w:tcBorders>
            <w:noWrap w:val="0"/>
            <w:vAlign w:val="center"/>
          </w:tcPr>
          <w:p w14:paraId="3A6F9172">
            <w:pPr>
              <w:widowControl/>
              <w:jc w:val="left"/>
              <w:rPr>
                <w:rFonts w:ascii="宋体" w:hAnsi="宋体" w:cs="宋体"/>
                <w:kern w:val="0"/>
                <w:szCs w:val="21"/>
              </w:rPr>
            </w:pPr>
            <w:r>
              <w:rPr>
                <w:rFonts w:hint="eastAsia" w:ascii="宋体" w:hAnsi="宋体" w:cs="宋体"/>
                <w:kern w:val="0"/>
                <w:szCs w:val="21"/>
              </w:rPr>
              <w:t>500≤Y＜1000</w:t>
            </w:r>
          </w:p>
        </w:tc>
        <w:tc>
          <w:tcPr>
            <w:tcW w:w="966" w:type="dxa"/>
            <w:tcBorders>
              <w:top w:val="nil"/>
              <w:left w:val="nil"/>
              <w:bottom w:val="single" w:color="auto" w:sz="4" w:space="0"/>
              <w:right w:val="single" w:color="auto" w:sz="4" w:space="0"/>
            </w:tcBorders>
            <w:noWrap w:val="0"/>
            <w:vAlign w:val="center"/>
          </w:tcPr>
          <w:p w14:paraId="75929664">
            <w:pPr>
              <w:widowControl/>
              <w:jc w:val="left"/>
              <w:rPr>
                <w:rFonts w:ascii="宋体" w:hAnsi="宋体" w:cs="宋体"/>
                <w:kern w:val="0"/>
                <w:szCs w:val="21"/>
              </w:rPr>
            </w:pPr>
            <w:r>
              <w:rPr>
                <w:rFonts w:hint="eastAsia" w:ascii="宋体" w:hAnsi="宋体" w:cs="宋体"/>
                <w:kern w:val="0"/>
                <w:szCs w:val="21"/>
              </w:rPr>
              <w:t>Y＜500</w:t>
            </w:r>
          </w:p>
        </w:tc>
      </w:tr>
      <w:tr w14:paraId="010FA74B">
        <w:tblPrEx>
          <w:tblCellMar>
            <w:top w:w="0" w:type="dxa"/>
            <w:left w:w="108" w:type="dxa"/>
            <w:bottom w:w="0" w:type="dxa"/>
            <w:right w:w="108" w:type="dxa"/>
          </w:tblCellMar>
        </w:tblPrEx>
        <w:trPr>
          <w:trHeight w:val="340" w:hRule="atLeast"/>
          <w:jc w:val="center"/>
        </w:trPr>
        <w:tc>
          <w:tcPr>
            <w:tcW w:w="2035" w:type="dxa"/>
            <w:vMerge w:val="restart"/>
            <w:tcBorders>
              <w:top w:val="nil"/>
              <w:left w:val="single" w:color="auto" w:sz="4" w:space="0"/>
              <w:bottom w:val="single" w:color="auto" w:sz="4" w:space="0"/>
              <w:right w:val="single" w:color="auto" w:sz="4" w:space="0"/>
            </w:tcBorders>
            <w:noWrap w:val="0"/>
            <w:vAlign w:val="center"/>
          </w:tcPr>
          <w:p w14:paraId="0B95605F">
            <w:pPr>
              <w:widowControl/>
              <w:jc w:val="center"/>
              <w:rPr>
                <w:rFonts w:ascii="宋体" w:hAnsi="宋体" w:cs="宋体"/>
                <w:b/>
                <w:bCs/>
                <w:kern w:val="0"/>
                <w:szCs w:val="21"/>
              </w:rPr>
            </w:pPr>
            <w:r>
              <w:rPr>
                <w:rFonts w:hint="eastAsia" w:ascii="宋体" w:hAnsi="宋体" w:cs="宋体"/>
                <w:b/>
                <w:bCs/>
                <w:kern w:val="0"/>
                <w:szCs w:val="21"/>
              </w:rPr>
              <w:t>租赁和商务服务业</w:t>
            </w:r>
          </w:p>
        </w:tc>
        <w:tc>
          <w:tcPr>
            <w:tcW w:w="1712" w:type="dxa"/>
            <w:tcBorders>
              <w:top w:val="nil"/>
              <w:left w:val="nil"/>
              <w:bottom w:val="single" w:color="auto" w:sz="4" w:space="0"/>
              <w:right w:val="single" w:color="auto" w:sz="4" w:space="0"/>
            </w:tcBorders>
            <w:noWrap w:val="0"/>
            <w:vAlign w:val="center"/>
          </w:tcPr>
          <w:p w14:paraId="5293F07A">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1F9A40BA">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766BEF1E">
            <w:pPr>
              <w:widowControl/>
              <w:jc w:val="left"/>
              <w:rPr>
                <w:rFonts w:ascii="宋体" w:hAnsi="宋体" w:cs="宋体"/>
                <w:kern w:val="0"/>
                <w:szCs w:val="21"/>
              </w:rPr>
            </w:pPr>
            <w:r>
              <w:rPr>
                <w:rFonts w:hint="eastAsia" w:ascii="宋体" w:hAnsi="宋体" w:cs="宋体"/>
                <w:kern w:val="0"/>
                <w:szCs w:val="21"/>
              </w:rPr>
              <w:t>100≤X＜300</w:t>
            </w:r>
          </w:p>
        </w:tc>
        <w:tc>
          <w:tcPr>
            <w:tcW w:w="1956" w:type="dxa"/>
            <w:tcBorders>
              <w:top w:val="nil"/>
              <w:left w:val="nil"/>
              <w:bottom w:val="single" w:color="auto" w:sz="4" w:space="0"/>
              <w:right w:val="single" w:color="auto" w:sz="4" w:space="0"/>
            </w:tcBorders>
            <w:noWrap w:val="0"/>
            <w:vAlign w:val="center"/>
          </w:tcPr>
          <w:p w14:paraId="29A21E3E">
            <w:pPr>
              <w:widowControl/>
              <w:jc w:val="left"/>
              <w:rPr>
                <w:rFonts w:ascii="宋体" w:hAnsi="宋体" w:cs="宋体"/>
                <w:kern w:val="0"/>
                <w:szCs w:val="21"/>
              </w:rPr>
            </w:pPr>
            <w:r>
              <w:rPr>
                <w:rFonts w:hint="eastAsia" w:ascii="宋体" w:hAnsi="宋体" w:cs="宋体"/>
                <w:kern w:val="0"/>
                <w:szCs w:val="21"/>
              </w:rPr>
              <w:t>10≤X＜100</w:t>
            </w:r>
          </w:p>
        </w:tc>
        <w:tc>
          <w:tcPr>
            <w:tcW w:w="966" w:type="dxa"/>
            <w:tcBorders>
              <w:top w:val="nil"/>
              <w:left w:val="nil"/>
              <w:bottom w:val="single" w:color="auto" w:sz="4" w:space="0"/>
              <w:right w:val="single" w:color="auto" w:sz="4" w:space="0"/>
            </w:tcBorders>
            <w:noWrap w:val="0"/>
            <w:vAlign w:val="center"/>
          </w:tcPr>
          <w:p w14:paraId="5AA6A8C9">
            <w:pPr>
              <w:widowControl/>
              <w:jc w:val="left"/>
              <w:rPr>
                <w:rFonts w:ascii="宋体" w:hAnsi="宋体" w:cs="宋体"/>
                <w:kern w:val="0"/>
                <w:szCs w:val="21"/>
              </w:rPr>
            </w:pPr>
            <w:r>
              <w:rPr>
                <w:rFonts w:hint="eastAsia" w:ascii="宋体" w:hAnsi="宋体" w:cs="宋体"/>
                <w:kern w:val="0"/>
                <w:szCs w:val="21"/>
              </w:rPr>
              <w:t>X＜10</w:t>
            </w:r>
          </w:p>
        </w:tc>
      </w:tr>
      <w:tr w14:paraId="5DEEDBBA">
        <w:tblPrEx>
          <w:tblCellMar>
            <w:top w:w="0" w:type="dxa"/>
            <w:left w:w="108" w:type="dxa"/>
            <w:bottom w:w="0" w:type="dxa"/>
            <w:right w:w="108" w:type="dxa"/>
          </w:tblCellMar>
        </w:tblPrEx>
        <w:trPr>
          <w:trHeight w:val="340" w:hRule="atLeast"/>
          <w:jc w:val="center"/>
        </w:trPr>
        <w:tc>
          <w:tcPr>
            <w:tcW w:w="2035" w:type="dxa"/>
            <w:vMerge w:val="continue"/>
            <w:tcBorders>
              <w:top w:val="nil"/>
              <w:left w:val="single" w:color="auto" w:sz="4" w:space="0"/>
              <w:bottom w:val="single" w:color="auto" w:sz="4" w:space="0"/>
              <w:right w:val="single" w:color="auto" w:sz="4" w:space="0"/>
            </w:tcBorders>
            <w:noWrap w:val="0"/>
            <w:vAlign w:val="center"/>
          </w:tcPr>
          <w:p w14:paraId="6F4E97E4">
            <w:pPr>
              <w:widowControl/>
              <w:jc w:val="center"/>
              <w:rPr>
                <w:rFonts w:ascii="宋体" w:hAnsi="宋体" w:cs="宋体"/>
                <w:b/>
                <w:bCs/>
                <w:kern w:val="0"/>
                <w:szCs w:val="21"/>
              </w:rPr>
            </w:pPr>
          </w:p>
        </w:tc>
        <w:tc>
          <w:tcPr>
            <w:tcW w:w="1712" w:type="dxa"/>
            <w:tcBorders>
              <w:top w:val="nil"/>
              <w:left w:val="nil"/>
              <w:bottom w:val="single" w:color="auto" w:sz="4" w:space="0"/>
              <w:right w:val="single" w:color="auto" w:sz="4" w:space="0"/>
            </w:tcBorders>
            <w:noWrap w:val="0"/>
            <w:vAlign w:val="center"/>
          </w:tcPr>
          <w:p w14:paraId="292F287D">
            <w:pPr>
              <w:widowControl/>
              <w:jc w:val="left"/>
              <w:rPr>
                <w:rFonts w:ascii="宋体" w:hAnsi="宋体" w:cs="宋体"/>
                <w:kern w:val="0"/>
                <w:szCs w:val="21"/>
              </w:rPr>
            </w:pPr>
            <w:r>
              <w:rPr>
                <w:rFonts w:hint="eastAsia" w:ascii="宋体" w:hAnsi="宋体" w:cs="宋体"/>
                <w:kern w:val="0"/>
                <w:szCs w:val="21"/>
              </w:rPr>
              <w:t>资产总额（Z）</w:t>
            </w:r>
          </w:p>
        </w:tc>
        <w:tc>
          <w:tcPr>
            <w:tcW w:w="740" w:type="dxa"/>
            <w:tcBorders>
              <w:top w:val="nil"/>
              <w:left w:val="nil"/>
              <w:bottom w:val="single" w:color="auto" w:sz="4" w:space="0"/>
              <w:right w:val="single" w:color="auto" w:sz="4" w:space="0"/>
            </w:tcBorders>
            <w:noWrap w:val="0"/>
            <w:vAlign w:val="center"/>
          </w:tcPr>
          <w:p w14:paraId="2973B3FB">
            <w:pPr>
              <w:widowControl/>
              <w:jc w:val="left"/>
              <w:rPr>
                <w:rFonts w:ascii="宋体" w:hAnsi="宋体" w:cs="宋体"/>
                <w:kern w:val="0"/>
                <w:szCs w:val="21"/>
              </w:rPr>
            </w:pPr>
            <w:r>
              <w:rPr>
                <w:rFonts w:hint="eastAsia" w:ascii="宋体" w:hAnsi="宋体" w:cs="宋体"/>
                <w:kern w:val="0"/>
                <w:szCs w:val="21"/>
              </w:rPr>
              <w:t>万元</w:t>
            </w:r>
          </w:p>
        </w:tc>
        <w:tc>
          <w:tcPr>
            <w:tcW w:w="2066" w:type="dxa"/>
            <w:tcBorders>
              <w:top w:val="nil"/>
              <w:left w:val="nil"/>
              <w:bottom w:val="single" w:color="auto" w:sz="4" w:space="0"/>
              <w:right w:val="single" w:color="auto" w:sz="4" w:space="0"/>
            </w:tcBorders>
            <w:noWrap w:val="0"/>
            <w:vAlign w:val="center"/>
          </w:tcPr>
          <w:p w14:paraId="422715AD">
            <w:pPr>
              <w:widowControl/>
              <w:jc w:val="left"/>
              <w:rPr>
                <w:rFonts w:ascii="宋体" w:hAnsi="宋体" w:cs="宋体"/>
                <w:kern w:val="0"/>
                <w:szCs w:val="21"/>
              </w:rPr>
            </w:pPr>
            <w:r>
              <w:rPr>
                <w:rFonts w:hint="eastAsia" w:ascii="宋体" w:hAnsi="宋体" w:cs="宋体"/>
                <w:kern w:val="0"/>
                <w:szCs w:val="21"/>
              </w:rPr>
              <w:t>8000≤Z＜120000</w:t>
            </w:r>
          </w:p>
        </w:tc>
        <w:tc>
          <w:tcPr>
            <w:tcW w:w="1956" w:type="dxa"/>
            <w:tcBorders>
              <w:top w:val="nil"/>
              <w:left w:val="nil"/>
              <w:bottom w:val="single" w:color="auto" w:sz="4" w:space="0"/>
              <w:right w:val="single" w:color="auto" w:sz="4" w:space="0"/>
            </w:tcBorders>
            <w:noWrap w:val="0"/>
            <w:vAlign w:val="center"/>
          </w:tcPr>
          <w:p w14:paraId="39DAB556">
            <w:pPr>
              <w:widowControl/>
              <w:jc w:val="left"/>
              <w:rPr>
                <w:rFonts w:ascii="宋体" w:hAnsi="宋体" w:cs="宋体"/>
                <w:kern w:val="0"/>
                <w:szCs w:val="21"/>
              </w:rPr>
            </w:pPr>
            <w:r>
              <w:rPr>
                <w:rFonts w:hint="eastAsia" w:ascii="宋体" w:hAnsi="宋体" w:cs="宋体"/>
                <w:kern w:val="0"/>
                <w:szCs w:val="21"/>
              </w:rPr>
              <w:t>100≤Z＜8000</w:t>
            </w:r>
          </w:p>
        </w:tc>
        <w:tc>
          <w:tcPr>
            <w:tcW w:w="966" w:type="dxa"/>
            <w:tcBorders>
              <w:top w:val="nil"/>
              <w:left w:val="nil"/>
              <w:bottom w:val="single" w:color="auto" w:sz="4" w:space="0"/>
              <w:right w:val="single" w:color="auto" w:sz="4" w:space="0"/>
            </w:tcBorders>
            <w:noWrap w:val="0"/>
            <w:vAlign w:val="center"/>
          </w:tcPr>
          <w:p w14:paraId="5928503B">
            <w:pPr>
              <w:widowControl/>
              <w:jc w:val="left"/>
              <w:rPr>
                <w:rFonts w:ascii="宋体" w:hAnsi="宋体" w:cs="宋体"/>
                <w:kern w:val="0"/>
                <w:szCs w:val="21"/>
              </w:rPr>
            </w:pPr>
            <w:r>
              <w:rPr>
                <w:rFonts w:hint="eastAsia" w:ascii="宋体" w:hAnsi="宋体" w:cs="宋体"/>
                <w:kern w:val="0"/>
                <w:szCs w:val="21"/>
              </w:rPr>
              <w:t>Y＜100</w:t>
            </w:r>
          </w:p>
        </w:tc>
      </w:tr>
      <w:tr w14:paraId="31A66885">
        <w:tblPrEx>
          <w:tblCellMar>
            <w:top w:w="0" w:type="dxa"/>
            <w:left w:w="108" w:type="dxa"/>
            <w:bottom w:w="0" w:type="dxa"/>
            <w:right w:w="108" w:type="dxa"/>
          </w:tblCellMar>
        </w:tblPrEx>
        <w:trPr>
          <w:trHeight w:val="340" w:hRule="atLeast"/>
          <w:jc w:val="center"/>
        </w:trPr>
        <w:tc>
          <w:tcPr>
            <w:tcW w:w="2035" w:type="dxa"/>
            <w:tcBorders>
              <w:top w:val="nil"/>
              <w:left w:val="single" w:color="auto" w:sz="4" w:space="0"/>
              <w:bottom w:val="single" w:color="auto" w:sz="4" w:space="0"/>
              <w:right w:val="single" w:color="auto" w:sz="4" w:space="0"/>
            </w:tcBorders>
            <w:noWrap w:val="0"/>
            <w:vAlign w:val="center"/>
          </w:tcPr>
          <w:p w14:paraId="1B1458CB">
            <w:pPr>
              <w:widowControl/>
              <w:jc w:val="center"/>
              <w:rPr>
                <w:rFonts w:ascii="宋体" w:hAnsi="宋体" w:cs="宋体"/>
                <w:b/>
                <w:bCs/>
                <w:kern w:val="0"/>
                <w:szCs w:val="21"/>
              </w:rPr>
            </w:pPr>
            <w:r>
              <w:rPr>
                <w:rFonts w:hint="eastAsia" w:ascii="宋体" w:hAnsi="宋体" w:cs="宋体"/>
                <w:b/>
                <w:bCs/>
                <w:kern w:val="0"/>
                <w:szCs w:val="21"/>
              </w:rPr>
              <w:t>其他未列明行业</w:t>
            </w:r>
          </w:p>
        </w:tc>
        <w:tc>
          <w:tcPr>
            <w:tcW w:w="1712" w:type="dxa"/>
            <w:tcBorders>
              <w:top w:val="nil"/>
              <w:left w:val="nil"/>
              <w:bottom w:val="single" w:color="auto" w:sz="4" w:space="0"/>
              <w:right w:val="single" w:color="auto" w:sz="4" w:space="0"/>
            </w:tcBorders>
            <w:noWrap w:val="0"/>
            <w:vAlign w:val="center"/>
          </w:tcPr>
          <w:p w14:paraId="38292D8C">
            <w:pPr>
              <w:widowControl/>
              <w:jc w:val="left"/>
              <w:rPr>
                <w:rFonts w:ascii="宋体" w:hAnsi="宋体" w:cs="宋体"/>
                <w:kern w:val="0"/>
                <w:szCs w:val="21"/>
              </w:rPr>
            </w:pPr>
            <w:r>
              <w:rPr>
                <w:rFonts w:hint="eastAsia" w:ascii="宋体" w:hAnsi="宋体" w:cs="宋体"/>
                <w:kern w:val="0"/>
                <w:szCs w:val="21"/>
              </w:rPr>
              <w:t>从业人员（X）</w:t>
            </w:r>
          </w:p>
        </w:tc>
        <w:tc>
          <w:tcPr>
            <w:tcW w:w="740" w:type="dxa"/>
            <w:tcBorders>
              <w:top w:val="nil"/>
              <w:left w:val="nil"/>
              <w:bottom w:val="single" w:color="auto" w:sz="4" w:space="0"/>
              <w:right w:val="single" w:color="auto" w:sz="4" w:space="0"/>
            </w:tcBorders>
            <w:noWrap w:val="0"/>
            <w:vAlign w:val="center"/>
          </w:tcPr>
          <w:p w14:paraId="3C306AEA">
            <w:pPr>
              <w:widowControl/>
              <w:jc w:val="left"/>
              <w:rPr>
                <w:rFonts w:ascii="宋体" w:hAnsi="宋体" w:cs="宋体"/>
                <w:kern w:val="0"/>
                <w:szCs w:val="21"/>
              </w:rPr>
            </w:pPr>
            <w:r>
              <w:rPr>
                <w:rFonts w:hint="eastAsia" w:ascii="宋体" w:hAnsi="宋体" w:cs="宋体"/>
                <w:kern w:val="0"/>
                <w:szCs w:val="21"/>
              </w:rPr>
              <w:t>人</w:t>
            </w:r>
          </w:p>
        </w:tc>
        <w:tc>
          <w:tcPr>
            <w:tcW w:w="2066" w:type="dxa"/>
            <w:tcBorders>
              <w:top w:val="nil"/>
              <w:left w:val="nil"/>
              <w:bottom w:val="single" w:color="auto" w:sz="4" w:space="0"/>
              <w:right w:val="single" w:color="auto" w:sz="4" w:space="0"/>
            </w:tcBorders>
            <w:noWrap w:val="0"/>
            <w:vAlign w:val="center"/>
          </w:tcPr>
          <w:p w14:paraId="0A423E69">
            <w:pPr>
              <w:widowControl/>
              <w:jc w:val="left"/>
              <w:rPr>
                <w:rFonts w:ascii="宋体" w:hAnsi="宋体" w:cs="宋体"/>
                <w:kern w:val="0"/>
                <w:szCs w:val="21"/>
              </w:rPr>
            </w:pPr>
            <w:r>
              <w:rPr>
                <w:rFonts w:hint="eastAsia" w:ascii="宋体" w:hAnsi="宋体" w:cs="宋体"/>
                <w:kern w:val="0"/>
                <w:szCs w:val="21"/>
              </w:rPr>
              <w:t>100≤X＜300</w:t>
            </w:r>
          </w:p>
        </w:tc>
        <w:tc>
          <w:tcPr>
            <w:tcW w:w="1956" w:type="dxa"/>
            <w:tcBorders>
              <w:top w:val="nil"/>
              <w:left w:val="nil"/>
              <w:bottom w:val="single" w:color="auto" w:sz="4" w:space="0"/>
              <w:right w:val="single" w:color="auto" w:sz="4" w:space="0"/>
            </w:tcBorders>
            <w:noWrap w:val="0"/>
            <w:vAlign w:val="center"/>
          </w:tcPr>
          <w:p w14:paraId="012CDD48">
            <w:pPr>
              <w:widowControl/>
              <w:jc w:val="left"/>
              <w:rPr>
                <w:rFonts w:ascii="宋体" w:hAnsi="宋体" w:cs="宋体"/>
                <w:kern w:val="0"/>
                <w:szCs w:val="21"/>
              </w:rPr>
            </w:pPr>
            <w:r>
              <w:rPr>
                <w:rFonts w:hint="eastAsia" w:ascii="宋体" w:hAnsi="宋体" w:cs="宋体"/>
                <w:kern w:val="0"/>
                <w:szCs w:val="21"/>
              </w:rPr>
              <w:t>10≤X＜100</w:t>
            </w:r>
          </w:p>
        </w:tc>
        <w:tc>
          <w:tcPr>
            <w:tcW w:w="966" w:type="dxa"/>
            <w:tcBorders>
              <w:top w:val="nil"/>
              <w:left w:val="nil"/>
              <w:bottom w:val="single" w:color="auto" w:sz="4" w:space="0"/>
              <w:right w:val="single" w:color="auto" w:sz="4" w:space="0"/>
            </w:tcBorders>
            <w:noWrap w:val="0"/>
            <w:vAlign w:val="center"/>
          </w:tcPr>
          <w:p w14:paraId="446343E1">
            <w:pPr>
              <w:widowControl/>
              <w:jc w:val="left"/>
              <w:rPr>
                <w:rFonts w:ascii="宋体" w:hAnsi="宋体" w:cs="宋体"/>
                <w:kern w:val="0"/>
                <w:szCs w:val="21"/>
              </w:rPr>
            </w:pPr>
            <w:r>
              <w:rPr>
                <w:rFonts w:hint="eastAsia" w:ascii="宋体" w:hAnsi="宋体" w:cs="宋体"/>
                <w:kern w:val="0"/>
                <w:szCs w:val="21"/>
              </w:rPr>
              <w:t>X＜10</w:t>
            </w:r>
          </w:p>
        </w:tc>
      </w:tr>
    </w:tbl>
    <w:p w14:paraId="4A8DA450">
      <w:pPr>
        <w:spacing w:line="360" w:lineRule="auto"/>
        <w:ind w:firstLine="525" w:firstLineChars="250"/>
      </w:pPr>
      <w:r>
        <w:rPr>
          <w:rFonts w:hint="eastAsia" w:ascii="宋体" w:hAnsi="宋体" w:cs="宋体"/>
          <w:szCs w:val="21"/>
        </w:rPr>
        <w:t>说明：上述标准参照《关于印发中小企业划型标准规定的通知》（工信部联企业[2011]300号），大型、中型和小型企业须同时满足所列指标的下限，否则下划一档；微型企业只须满足所列指标中的一项即可。</w:t>
      </w:r>
      <w:bookmarkEnd w:id="2"/>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Nimbus Roman No9 L">
    <w:altName w:val="Noto Sans SC"/>
    <w:panose1 w:val="00000000000000000000"/>
    <w:charset w:val="00"/>
    <w:family w:val="auto"/>
    <w:pitch w:val="default"/>
    <w:sig w:usb0="00000000" w:usb1="00000000" w:usb2="00000000" w:usb3="00000000" w:csb0="00040001" w:csb1="00000000"/>
  </w:font>
  <w:font w:name="Noto Sans SC">
    <w:panose1 w:val="020B0200000000000000"/>
    <w:charset w:val="86"/>
    <w:family w:val="auto"/>
    <w:pitch w:val="default"/>
    <w:sig w:usb0="20000083" w:usb1="2ADF3C10" w:usb2="00000016" w:usb3="00000000" w:csb0="6006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A3363">
    <w:pPr>
      <w:pStyle w:val="5"/>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4FC937A">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JGuwyAgAAY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jB5loWN&#10;3loeoaM83i4PAXImlaMonRLoTjxg9lKfLnsSh/vPc4p6+m9YP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NIka7DICAABjBAAADgAAAAAAAAABACAAAAAfAQAAZHJzL2Uyb0RvYy54bWxQSwUG&#10;AAAAAAYABgBZAQAAwwUAAAAA&#10;">
              <v:fill on="f" focussize="0,0"/>
              <v:stroke on="f" weight="0.5pt"/>
              <v:imagedata o:title=""/>
              <o:lock v:ext="edit" aspectratio="f"/>
              <v:textbox inset="0mm,0mm,0mm,0mm" style="mso-fit-shape-to-text:t;">
                <w:txbxContent>
                  <w:p w14:paraId="74FC937A">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92004">
    <w:pPr>
      <w:pStyle w:val="5"/>
      <w:jc w:val="center"/>
    </w:pPr>
    <w:r>
      <w:fldChar w:fldCharType="begin"/>
    </w:r>
    <w:r>
      <w:instrText xml:space="preserve">PAGE   \* MERGEFORMAT</w:instrText>
    </w:r>
    <w:r>
      <w:fldChar w:fldCharType="separate"/>
    </w:r>
    <w:r>
      <w:rPr>
        <w:lang w:val="zh-CN"/>
      </w:rPr>
      <w:t>7</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C26D5">
    <w:pPr>
      <w:pStyle w:val="5"/>
      <w:jc w:val="center"/>
    </w:pPr>
    <w:r>
      <w:fldChar w:fldCharType="begin"/>
    </w:r>
    <w:r>
      <w:instrText xml:space="preserve">PAGE   \* MERGEFORMAT</w:instrText>
    </w:r>
    <w:r>
      <w:fldChar w:fldCharType="separate"/>
    </w:r>
    <w:r>
      <w:rPr>
        <w:lang w:val="zh-CN"/>
      </w:rPr>
      <w:t>13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957C2">
    <w:pPr>
      <w:pStyle w:val="5"/>
      <w:framePr w:wrap="around" w:vAnchor="text" w:hAnchor="margin" w:xAlign="center" w:y="1"/>
      <w:rPr>
        <w:rStyle w:val="11"/>
      </w:rPr>
    </w:pPr>
    <w:r>
      <w:fldChar w:fldCharType="begin"/>
    </w:r>
    <w:r>
      <w:rPr>
        <w:rStyle w:val="11"/>
      </w:rPr>
      <w:instrText xml:space="preserve">PAGE  </w:instrText>
    </w:r>
    <w:r>
      <w:fldChar w:fldCharType="end"/>
    </w:r>
  </w:p>
  <w:p w14:paraId="0B995081">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589D7">
    <w:pPr>
      <w:pStyle w:val="5"/>
      <w:framePr w:wrap="around" w:vAnchor="text" w:hAnchor="margin" w:xAlign="right" w:y="1"/>
      <w:rPr>
        <w:rStyle w:val="11"/>
      </w:rPr>
    </w:pPr>
    <w:r>
      <w:fldChar w:fldCharType="begin"/>
    </w:r>
    <w:r>
      <w:rPr>
        <w:rStyle w:val="11"/>
      </w:rPr>
      <w:instrText xml:space="preserve">PAGE  </w:instrText>
    </w:r>
    <w:r>
      <w:fldChar w:fldCharType="separate"/>
    </w:r>
    <w:r>
      <w:rPr>
        <w:rStyle w:val="11"/>
      </w:rPr>
      <w:t>122</w:t>
    </w:r>
    <w:r>
      <w:fldChar w:fldCharType="end"/>
    </w:r>
  </w:p>
  <w:p w14:paraId="44336518">
    <w:pPr>
      <w:pStyle w:val="5"/>
      <w:ind w:right="360"/>
      <w:jc w:val="both"/>
    </w:pPr>
    <w:r>
      <w:rPr>
        <w:rFonts w:hint="eastAsia"/>
      </w:rPr>
      <w:t>121</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461E9">
    <w:pPr>
      <w:pStyle w:val="6"/>
      <w:pBdr>
        <w:bottom w:val="none" w:color="auto" w:sz="0" w:space="0"/>
      </w:pBdr>
      <w:tabs>
        <w:tab w:val="center" w:pos="0"/>
        <w:tab w:val="left" w:pos="8306"/>
        <w:tab w:val="clear" w:pos="4153"/>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A73A9F"/>
    <w:rsid w:val="12A73A9F"/>
    <w:rsid w:val="4C8663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宋体"/>
      <w:b/>
      <w:sz w:val="28"/>
    </w:rPr>
  </w:style>
  <w:style w:type="character" w:default="1" w:styleId="10">
    <w:name w:val="Default Paragraph Font"/>
    <w:semiHidden/>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宋体"/>
      <w:szCs w:val="20"/>
    </w:rPr>
  </w:style>
  <w:style w:type="paragraph" w:styleId="5">
    <w:name w:val="footer"/>
    <w:basedOn w:val="1"/>
    <w:next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beforeAutospacing="1" w:after="100" w:afterAutospacing="1"/>
      <w:jc w:val="left"/>
    </w:pPr>
    <w:rPr>
      <w:rFonts w:ascii="宋体" w:hAnsi="宋体"/>
      <w:sz w:val="24"/>
    </w:rPr>
  </w:style>
  <w:style w:type="paragraph" w:styleId="8">
    <w:name w:val="Title"/>
    <w:basedOn w:val="1"/>
    <w:next w:val="1"/>
    <w:qFormat/>
    <w:uiPriority w:val="10"/>
    <w:pPr>
      <w:spacing w:before="240" w:after="60"/>
      <w:jc w:val="center"/>
      <w:outlineLvl w:val="0"/>
    </w:pPr>
    <w:rPr>
      <w:rFonts w:ascii="Cambria" w:hAnsi="Cambria"/>
      <w:b/>
      <w:bCs/>
      <w:sz w:val="32"/>
      <w:szCs w:val="32"/>
    </w:rPr>
  </w:style>
  <w:style w:type="character" w:styleId="11">
    <w:name w:val="page number"/>
    <w:qFormat/>
    <w:uiPriority w:val="0"/>
  </w:style>
  <w:style w:type="character" w:styleId="12">
    <w:name w:val="annotation reference"/>
    <w:qFormat/>
    <w:uiPriority w:val="0"/>
    <w:rPr>
      <w:sz w:val="21"/>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2026-04-16T11:19:00Z</dcterms:created>
  <dc:creator>123</dc:creator>
  <cp:lastModifiedBy>123</cp:lastModifiedBy>
  <dcterms:modified xsi:type="dcterms:W3CDTF">2026-04-16T11:20:50Z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CE143ED92291482B88B5664F6C1CE72A_11</vt:lpwstr>
  </property>
  <property fmtid="{D5CDD505-2E9C-101B-9397-08002B2CF9AE}" pid="4" name="KSOTemplateDocerSaveRecord">
    <vt:lpwstr>eyJoZGlkIjoiZWQxMDA2ZWRkMzc1OTM5ZmE5ZDAyNDJiMzFlZTIyZDIiLCJ1c2VySWQiOiIyNDI2MTQwMTcifQ==</vt:lpwstr>
  </property>
</Properties>
</file>