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193182">
      <w:pPr>
        <w:spacing w:before="312" w:beforeLines="100" w:after="156" w:afterLines="50" w:line="360" w:lineRule="auto"/>
        <w:jc w:val="center"/>
        <w:rPr>
          <w:rFonts w:hint="eastAsia" w:ascii="宋体" w:hAnsi="宋体" w:eastAsia="宋体" w:cs="仿宋"/>
          <w:b/>
          <w:bCs w:val="0"/>
          <w:color w:val="auto"/>
          <w:sz w:val="52"/>
          <w:szCs w:val="52"/>
          <w:highlight w:val="none"/>
          <w:lang w:eastAsia="zh-CN"/>
        </w:rPr>
      </w:pPr>
      <w:r>
        <w:rPr>
          <w:rFonts w:hint="eastAsia" w:ascii="宋体" w:hAnsi="宋体" w:cs="仿宋"/>
          <w:b/>
          <w:bCs w:val="0"/>
          <w:color w:val="auto"/>
          <w:sz w:val="52"/>
          <w:szCs w:val="52"/>
          <w:highlight w:val="none"/>
          <w:lang w:eastAsia="zh-CN"/>
        </w:rPr>
        <w:t>广西城建咨询设计有限公司</w:t>
      </w:r>
    </w:p>
    <w:p w14:paraId="73B81ECF">
      <w:pPr>
        <w:spacing w:before="312" w:beforeLines="100" w:after="156" w:afterLines="50" w:line="360" w:lineRule="auto"/>
        <w:jc w:val="center"/>
        <w:rPr>
          <w:rFonts w:ascii="方正小标宋简体" w:hAnsi="方正小标宋简体" w:eastAsia="方正小标宋简体" w:cs="方正小标宋简体"/>
          <w:b/>
          <w:color w:val="auto"/>
          <w:sz w:val="44"/>
          <w:szCs w:val="44"/>
          <w:highlight w:val="none"/>
        </w:rPr>
      </w:pPr>
    </w:p>
    <w:p w14:paraId="5B5973C8">
      <w:pPr>
        <w:snapToGrid w:val="0"/>
        <w:spacing w:before="156" w:beforeLines="50" w:line="360" w:lineRule="auto"/>
        <w:jc w:val="center"/>
        <w:rPr>
          <w:rFonts w:ascii="宋体" w:hAnsi="宋体" w:cs="宋体"/>
          <w:b/>
          <w:bCs/>
          <w:color w:val="auto"/>
          <w:sz w:val="44"/>
          <w:szCs w:val="44"/>
          <w:highlight w:val="none"/>
        </w:rPr>
      </w:pPr>
      <w:r>
        <w:rPr>
          <w:rFonts w:hint="eastAsia" w:ascii="宋体" w:hAnsi="宋体" w:cs="宋体"/>
          <w:b/>
          <w:bCs/>
          <w:color w:val="auto"/>
          <w:sz w:val="72"/>
          <w:szCs w:val="72"/>
          <w:highlight w:val="none"/>
        </w:rPr>
        <w:t>竞争性磋商文件</w:t>
      </w:r>
    </w:p>
    <w:p w14:paraId="4E67CC19">
      <w:pPr>
        <w:spacing w:line="360" w:lineRule="auto"/>
        <w:rPr>
          <w:rFonts w:ascii="宋体" w:hAnsi="宋体"/>
          <w:b/>
          <w:color w:val="auto"/>
          <w:sz w:val="32"/>
          <w:szCs w:val="32"/>
          <w:highlight w:val="none"/>
        </w:rPr>
      </w:pPr>
    </w:p>
    <w:p w14:paraId="1F06AA79">
      <w:pPr>
        <w:spacing w:line="360" w:lineRule="auto"/>
        <w:jc w:val="center"/>
        <w:rPr>
          <w:rFonts w:ascii="宋体" w:hAnsi="宋体"/>
          <w:b/>
          <w:color w:val="auto"/>
          <w:sz w:val="32"/>
          <w:szCs w:val="32"/>
          <w:highlight w:val="none"/>
        </w:rPr>
      </w:pPr>
    </w:p>
    <w:p w14:paraId="4073031E">
      <w:pPr>
        <w:spacing w:line="360" w:lineRule="auto"/>
        <w:ind w:left="2766" w:leftChars="600" w:hanging="1506" w:hangingChars="500"/>
        <w:rPr>
          <w:rFonts w:hint="default" w:ascii="宋体" w:hAnsi="宋体" w:eastAsia="宋体" w:cs="宋体"/>
          <w:b/>
          <w:bCs/>
          <w:color w:val="auto"/>
          <w:sz w:val="30"/>
          <w:szCs w:val="72"/>
          <w:highlight w:val="none"/>
          <w:lang w:val="en-US" w:eastAsia="zh-CN"/>
        </w:rPr>
      </w:pPr>
      <w:r>
        <w:rPr>
          <w:rFonts w:hint="eastAsia" w:ascii="宋体" w:hAnsi="宋体" w:cs="宋体"/>
          <w:b/>
          <w:bCs/>
          <w:color w:val="auto"/>
          <w:sz w:val="30"/>
          <w:szCs w:val="72"/>
          <w:highlight w:val="none"/>
        </w:rPr>
        <w:t>项目名称：</w:t>
      </w:r>
      <w:r>
        <w:rPr>
          <w:rFonts w:hint="eastAsia" w:ascii="宋体" w:hAnsi="宋体" w:cs="宋体"/>
          <w:b/>
          <w:bCs/>
          <w:color w:val="auto"/>
          <w:sz w:val="30"/>
          <w:szCs w:val="72"/>
          <w:highlight w:val="none"/>
          <w:u w:val="single"/>
          <w:lang w:eastAsia="zh-CN"/>
        </w:rPr>
        <w:t>中华人民共和国广西出入境边防检查总站2025年常规性项目委托审计服务采购</w:t>
      </w:r>
      <w:r>
        <w:rPr>
          <w:rFonts w:hint="eastAsia" w:ascii="宋体" w:hAnsi="宋体" w:cs="宋体"/>
          <w:b/>
          <w:bCs/>
          <w:color w:val="auto"/>
          <w:sz w:val="30"/>
          <w:szCs w:val="72"/>
          <w:highlight w:val="none"/>
          <w:u w:val="single"/>
          <w:lang w:val="en-US" w:eastAsia="zh-CN"/>
        </w:rPr>
        <w:t xml:space="preserve">                       </w:t>
      </w:r>
    </w:p>
    <w:p w14:paraId="40B87B36">
      <w:pPr>
        <w:spacing w:line="360" w:lineRule="auto"/>
        <w:ind w:firstLine="1340" w:firstLineChars="445"/>
        <w:rPr>
          <w:rFonts w:ascii="宋体" w:hAnsi="宋体" w:cs="宋体"/>
          <w:b/>
          <w:bCs/>
          <w:color w:val="auto"/>
          <w:sz w:val="30"/>
          <w:szCs w:val="72"/>
          <w:highlight w:val="none"/>
        </w:rPr>
      </w:pPr>
    </w:p>
    <w:p w14:paraId="5322E6BE">
      <w:pPr>
        <w:spacing w:line="360" w:lineRule="auto"/>
        <w:ind w:firstLine="1205" w:firstLineChars="400"/>
        <w:rPr>
          <w:rFonts w:hint="default" w:ascii="宋体" w:hAnsi="宋体" w:eastAsia="宋体" w:cs="宋体"/>
          <w:b/>
          <w:bCs/>
          <w:color w:val="auto"/>
          <w:sz w:val="30"/>
          <w:szCs w:val="72"/>
          <w:highlight w:val="none"/>
          <w:u w:val="single"/>
          <w:lang w:eastAsia="zh-CN"/>
        </w:rPr>
      </w:pPr>
      <w:r>
        <w:rPr>
          <w:rFonts w:hint="eastAsia" w:ascii="宋体" w:hAnsi="宋体" w:cs="宋体"/>
          <w:b/>
          <w:bCs/>
          <w:color w:val="auto"/>
          <w:sz w:val="30"/>
          <w:szCs w:val="72"/>
          <w:highlight w:val="none"/>
        </w:rPr>
        <w:t>项目编号：</w:t>
      </w:r>
      <w:r>
        <w:rPr>
          <w:rFonts w:hint="eastAsia" w:ascii="宋体" w:hAnsi="宋体" w:cs="宋体"/>
          <w:b/>
          <w:bCs/>
          <w:color w:val="auto"/>
          <w:sz w:val="30"/>
          <w:szCs w:val="72"/>
          <w:highlight w:val="none"/>
          <w:u w:val="single"/>
          <w:lang w:eastAsia="zh-CN"/>
        </w:rPr>
        <w:t>CJAF2025235F</w:t>
      </w:r>
      <w:r>
        <w:rPr>
          <w:rFonts w:hint="eastAsia" w:ascii="宋体" w:hAnsi="宋体" w:cs="宋体"/>
          <w:b/>
          <w:bCs/>
          <w:color w:val="auto"/>
          <w:sz w:val="30"/>
          <w:szCs w:val="72"/>
          <w:highlight w:val="none"/>
          <w:u w:val="single"/>
          <w:lang w:val="en-US" w:eastAsia="zh-CN"/>
        </w:rPr>
        <w:t xml:space="preserve">                                        </w:t>
      </w:r>
    </w:p>
    <w:p w14:paraId="48FE357C">
      <w:pPr>
        <w:spacing w:line="360" w:lineRule="auto"/>
        <w:ind w:firstLine="1335" w:firstLineChars="445"/>
        <w:rPr>
          <w:rFonts w:ascii="宋体" w:hAnsi="宋体" w:cs="宋体"/>
          <w:color w:val="auto"/>
          <w:sz w:val="30"/>
          <w:szCs w:val="72"/>
          <w:highlight w:val="none"/>
        </w:rPr>
      </w:pPr>
    </w:p>
    <w:p w14:paraId="47D52484">
      <w:pPr>
        <w:pStyle w:val="24"/>
        <w:rPr>
          <w:color w:val="auto"/>
          <w:highlight w:val="none"/>
        </w:rPr>
      </w:pPr>
    </w:p>
    <w:p w14:paraId="3FA90F5D">
      <w:pPr>
        <w:pStyle w:val="24"/>
        <w:rPr>
          <w:color w:val="auto"/>
          <w:highlight w:val="none"/>
        </w:rPr>
      </w:pPr>
    </w:p>
    <w:p w14:paraId="40874BA3">
      <w:pPr>
        <w:rPr>
          <w:color w:val="auto"/>
          <w:highlight w:val="none"/>
        </w:rPr>
      </w:pPr>
    </w:p>
    <w:p w14:paraId="0AF61236">
      <w:pPr>
        <w:pStyle w:val="24"/>
        <w:rPr>
          <w:color w:val="auto"/>
          <w:highlight w:val="none"/>
        </w:rPr>
      </w:pPr>
    </w:p>
    <w:p w14:paraId="62180E24">
      <w:pPr>
        <w:pStyle w:val="41"/>
        <w:rPr>
          <w:rFonts w:hint="default" w:ascii="宋体" w:hAnsi="宋体" w:eastAsia="宋体" w:cs="宋体"/>
          <w:color w:val="auto"/>
          <w:highlight w:val="none"/>
        </w:rPr>
      </w:pPr>
    </w:p>
    <w:p w14:paraId="461EF139">
      <w:pPr>
        <w:spacing w:line="360" w:lineRule="auto"/>
        <w:ind w:firstLine="1340" w:firstLineChars="445"/>
        <w:rPr>
          <w:rFonts w:ascii="宋体" w:hAnsi="宋体" w:cs="宋体"/>
          <w:b/>
          <w:bCs/>
          <w:color w:val="auto"/>
          <w:sz w:val="30"/>
          <w:szCs w:val="72"/>
          <w:highlight w:val="none"/>
        </w:rPr>
      </w:pPr>
      <w:r>
        <w:rPr>
          <w:rFonts w:hint="eastAsia" w:ascii="宋体" w:hAnsi="宋体" w:cs="宋体"/>
          <w:b/>
          <w:bCs/>
          <w:color w:val="auto"/>
          <w:sz w:val="30"/>
          <w:szCs w:val="72"/>
          <w:highlight w:val="none"/>
        </w:rPr>
        <w:t>采 购 人：</w:t>
      </w:r>
      <w:r>
        <w:rPr>
          <w:rFonts w:hint="eastAsia" w:ascii="宋体" w:hAnsi="宋体" w:cs="宋体"/>
          <w:b/>
          <w:bCs/>
          <w:color w:val="auto"/>
          <w:sz w:val="30"/>
          <w:szCs w:val="72"/>
          <w:highlight w:val="none"/>
          <w:u w:val="single"/>
        </w:rPr>
        <w:t>中华人民共和国广西出入境边防检查总站</w:t>
      </w:r>
      <w:r>
        <w:rPr>
          <w:rFonts w:hint="eastAsia" w:ascii="宋体" w:hAnsi="宋体" w:cs="宋体"/>
          <w:b/>
          <w:bCs/>
          <w:color w:val="auto"/>
          <w:sz w:val="30"/>
          <w:szCs w:val="72"/>
          <w:highlight w:val="none"/>
          <w:u w:val="single"/>
          <w:lang w:val="en-US" w:eastAsia="zh-CN"/>
        </w:rPr>
        <w:t xml:space="preserve">                  </w:t>
      </w:r>
      <w:r>
        <w:rPr>
          <w:rFonts w:hint="eastAsia" w:ascii="宋体" w:hAnsi="宋体" w:cs="宋体"/>
          <w:b/>
          <w:bCs/>
          <w:color w:val="auto"/>
          <w:sz w:val="30"/>
          <w:szCs w:val="72"/>
          <w:highlight w:val="none"/>
        </w:rPr>
        <w:t xml:space="preserve"> </w:t>
      </w:r>
    </w:p>
    <w:p w14:paraId="759E73FA">
      <w:pPr>
        <w:spacing w:line="360" w:lineRule="auto"/>
        <w:ind w:firstLine="1340" w:firstLineChars="445"/>
        <w:rPr>
          <w:rFonts w:ascii="宋体" w:hAnsi="宋体" w:cs="宋体"/>
          <w:b/>
          <w:bCs/>
          <w:color w:val="auto"/>
          <w:sz w:val="30"/>
          <w:szCs w:val="72"/>
          <w:highlight w:val="none"/>
        </w:rPr>
      </w:pPr>
    </w:p>
    <w:p w14:paraId="3F516C72">
      <w:pPr>
        <w:spacing w:line="360" w:lineRule="auto"/>
        <w:ind w:firstLine="1340" w:firstLineChars="445"/>
        <w:rPr>
          <w:rFonts w:hint="default" w:ascii="宋体" w:hAnsi="宋体" w:eastAsia="宋体" w:cs="宋体"/>
          <w:b/>
          <w:bCs/>
          <w:color w:val="auto"/>
          <w:sz w:val="30"/>
          <w:szCs w:val="72"/>
          <w:highlight w:val="none"/>
          <w:lang w:val="en-US" w:eastAsia="zh-CN"/>
        </w:rPr>
      </w:pPr>
      <w:r>
        <w:rPr>
          <w:rFonts w:hint="eastAsia" w:ascii="宋体" w:hAnsi="宋体" w:cs="宋体"/>
          <w:b/>
          <w:bCs/>
          <w:color w:val="auto"/>
          <w:sz w:val="30"/>
          <w:szCs w:val="72"/>
          <w:highlight w:val="none"/>
        </w:rPr>
        <w:t>采购代理机构：</w:t>
      </w:r>
      <w:r>
        <w:rPr>
          <w:rFonts w:hint="eastAsia" w:ascii="宋体" w:hAnsi="宋体" w:cs="宋体"/>
          <w:b/>
          <w:bCs/>
          <w:color w:val="auto"/>
          <w:sz w:val="30"/>
          <w:szCs w:val="72"/>
          <w:highlight w:val="none"/>
          <w:u w:val="single"/>
          <w:lang w:eastAsia="zh-CN"/>
        </w:rPr>
        <w:t>广西城建咨询设计有限公司</w:t>
      </w:r>
      <w:r>
        <w:rPr>
          <w:rFonts w:hint="eastAsia" w:ascii="宋体" w:hAnsi="宋体" w:cs="宋体"/>
          <w:b/>
          <w:bCs/>
          <w:color w:val="auto"/>
          <w:sz w:val="30"/>
          <w:szCs w:val="72"/>
          <w:highlight w:val="none"/>
          <w:u w:val="single"/>
        </w:rPr>
        <w:t xml:space="preserve"> </w:t>
      </w:r>
      <w:r>
        <w:rPr>
          <w:rFonts w:hint="eastAsia" w:ascii="宋体" w:hAnsi="宋体" w:cs="宋体"/>
          <w:b/>
          <w:bCs/>
          <w:color w:val="auto"/>
          <w:sz w:val="30"/>
          <w:szCs w:val="72"/>
          <w:highlight w:val="none"/>
          <w:u w:val="single"/>
          <w:lang w:val="en-US" w:eastAsia="zh-CN"/>
        </w:rPr>
        <w:t xml:space="preserve">                         </w:t>
      </w:r>
    </w:p>
    <w:p w14:paraId="2272DFD8">
      <w:pPr>
        <w:spacing w:line="360" w:lineRule="auto"/>
        <w:ind w:firstLine="1335" w:firstLineChars="445"/>
        <w:rPr>
          <w:rFonts w:ascii="宋体" w:hAnsi="宋体" w:cs="宋体"/>
          <w:color w:val="auto"/>
          <w:sz w:val="30"/>
          <w:szCs w:val="72"/>
          <w:highlight w:val="none"/>
        </w:rPr>
      </w:pPr>
    </w:p>
    <w:p w14:paraId="603E8AD9">
      <w:pPr>
        <w:pStyle w:val="41"/>
        <w:rPr>
          <w:rFonts w:hint="default" w:ascii="宋体" w:hAnsi="宋体" w:eastAsia="宋体" w:cs="宋体"/>
          <w:color w:val="auto"/>
          <w:sz w:val="30"/>
          <w:szCs w:val="72"/>
          <w:highlight w:val="none"/>
        </w:rPr>
      </w:pPr>
    </w:p>
    <w:p w14:paraId="4BCFFD5E">
      <w:pPr>
        <w:spacing w:line="360" w:lineRule="auto"/>
        <w:ind w:firstLine="3915" w:firstLineChars="1300"/>
        <w:rPr>
          <w:rFonts w:ascii="宋体" w:hAnsi="宋体" w:cs="宋体"/>
          <w:b/>
          <w:bCs/>
          <w:color w:val="auto"/>
          <w:sz w:val="30"/>
          <w:szCs w:val="72"/>
          <w:highlight w:val="none"/>
        </w:rPr>
      </w:pPr>
      <w:r>
        <w:rPr>
          <w:rFonts w:hint="eastAsia" w:ascii="宋体" w:hAnsi="宋体" w:cs="宋体"/>
          <w:b/>
          <w:bCs/>
          <w:color w:val="auto"/>
          <w:sz w:val="30"/>
          <w:szCs w:val="72"/>
          <w:highlight w:val="none"/>
        </w:rPr>
        <w:t>202</w:t>
      </w:r>
      <w:r>
        <w:rPr>
          <w:rFonts w:hint="eastAsia" w:ascii="宋体" w:hAnsi="宋体" w:cs="宋体"/>
          <w:b/>
          <w:bCs/>
          <w:color w:val="auto"/>
          <w:sz w:val="30"/>
          <w:szCs w:val="72"/>
          <w:highlight w:val="none"/>
          <w:lang w:val="en-US" w:eastAsia="zh-CN"/>
        </w:rPr>
        <w:t>5</w:t>
      </w:r>
      <w:r>
        <w:rPr>
          <w:rFonts w:hint="eastAsia" w:ascii="宋体" w:hAnsi="宋体" w:cs="宋体"/>
          <w:b/>
          <w:bCs/>
          <w:color w:val="auto"/>
          <w:sz w:val="30"/>
          <w:szCs w:val="72"/>
          <w:highlight w:val="none"/>
        </w:rPr>
        <w:t>年</w:t>
      </w:r>
      <w:r>
        <w:rPr>
          <w:rFonts w:hint="eastAsia" w:ascii="宋体" w:hAnsi="宋体" w:cs="宋体"/>
          <w:b/>
          <w:bCs/>
          <w:color w:val="auto"/>
          <w:sz w:val="30"/>
          <w:szCs w:val="72"/>
          <w:highlight w:val="none"/>
          <w:lang w:val="en-US" w:eastAsia="zh-CN"/>
        </w:rPr>
        <w:t>6</w:t>
      </w:r>
      <w:r>
        <w:rPr>
          <w:rFonts w:hint="eastAsia" w:ascii="宋体" w:hAnsi="宋体" w:cs="宋体"/>
          <w:b/>
          <w:bCs/>
          <w:color w:val="auto"/>
          <w:sz w:val="30"/>
          <w:szCs w:val="72"/>
          <w:highlight w:val="none"/>
        </w:rPr>
        <w:t>月</w:t>
      </w:r>
    </w:p>
    <w:p w14:paraId="12CBC1EB">
      <w:pPr>
        <w:spacing w:line="360" w:lineRule="auto"/>
        <w:jc w:val="center"/>
        <w:rPr>
          <w:rFonts w:hint="eastAsia" w:ascii="宋体" w:hAnsi="宋体"/>
          <w:b/>
          <w:color w:val="auto"/>
          <w:sz w:val="44"/>
          <w:szCs w:val="44"/>
          <w:highlight w:val="none"/>
        </w:rPr>
        <w:sectPr>
          <w:headerReference r:id="rId3" w:type="default"/>
          <w:pgSz w:w="11906" w:h="16838"/>
          <w:pgMar w:top="1134" w:right="1134" w:bottom="1134" w:left="1134" w:header="851" w:footer="992" w:gutter="0"/>
          <w:pgNumType w:fmt="numberInDash" w:start="1"/>
          <w:cols w:space="720" w:num="1"/>
          <w:titlePg/>
          <w:docGrid w:type="lines" w:linePitch="312" w:charSpace="0"/>
        </w:sectPr>
      </w:pPr>
    </w:p>
    <w:p w14:paraId="4C2FCEB8">
      <w:pPr>
        <w:spacing w:line="360" w:lineRule="auto"/>
        <w:jc w:val="center"/>
        <w:rPr>
          <w:rFonts w:ascii="宋体" w:hAnsi="宋体"/>
          <w:b/>
          <w:color w:val="auto"/>
          <w:sz w:val="44"/>
          <w:szCs w:val="44"/>
          <w:highlight w:val="none"/>
        </w:rPr>
      </w:pPr>
      <w:r>
        <w:rPr>
          <w:rFonts w:hint="eastAsia" w:ascii="宋体" w:hAnsi="宋体"/>
          <w:b/>
          <w:color w:val="auto"/>
          <w:sz w:val="44"/>
          <w:szCs w:val="44"/>
          <w:highlight w:val="none"/>
        </w:rPr>
        <w:t>目   录</w:t>
      </w:r>
    </w:p>
    <w:p w14:paraId="3D9DFA56">
      <w:pPr>
        <w:spacing w:line="400" w:lineRule="exact"/>
        <w:jc w:val="center"/>
        <w:rPr>
          <w:rFonts w:ascii="宋体" w:hAnsi="宋体"/>
          <w:b/>
          <w:color w:val="auto"/>
          <w:sz w:val="44"/>
          <w:szCs w:val="44"/>
          <w:highlight w:val="none"/>
        </w:rPr>
      </w:pPr>
    </w:p>
    <w:p w14:paraId="4F35E8D5">
      <w:pPr>
        <w:pStyle w:val="24"/>
        <w:tabs>
          <w:tab w:val="right" w:leader="dot" w:pos="8844"/>
        </w:tabs>
        <w:rPr>
          <w:rFonts w:ascii="宋体" w:hAnsi="宋体" w:cs="宋体"/>
          <w:color w:val="auto"/>
          <w:sz w:val="28"/>
          <w:szCs w:val="28"/>
          <w:highlight w:val="none"/>
        </w:rPr>
      </w:pPr>
      <w:r>
        <w:rPr>
          <w:rFonts w:hint="eastAsia" w:ascii="宋体" w:hAnsi="宋体" w:cs="宋体"/>
          <w:color w:val="auto"/>
          <w:sz w:val="28"/>
          <w:szCs w:val="28"/>
          <w:highlight w:val="none"/>
        </w:rPr>
        <w:fldChar w:fldCharType="begin"/>
      </w:r>
      <w:r>
        <w:rPr>
          <w:rFonts w:hint="eastAsia" w:ascii="宋体" w:hAnsi="宋体" w:cs="宋体"/>
          <w:color w:val="auto"/>
          <w:sz w:val="28"/>
          <w:szCs w:val="28"/>
          <w:highlight w:val="none"/>
        </w:rPr>
        <w:instrText xml:space="preserve">TOC \o "1-1" \h \u </w:instrText>
      </w:r>
      <w:r>
        <w:rPr>
          <w:rFonts w:hint="eastAsia" w:ascii="宋体" w:hAnsi="宋体" w:cs="宋体"/>
          <w:color w:val="auto"/>
          <w:sz w:val="28"/>
          <w:szCs w:val="28"/>
          <w:highlight w:val="none"/>
        </w:rPr>
        <w:fldChar w:fldCharType="separate"/>
      </w:r>
      <w:r>
        <w:rPr>
          <w:color w:val="auto"/>
          <w:highlight w:val="none"/>
        </w:rPr>
        <w:fldChar w:fldCharType="begin"/>
      </w:r>
      <w:r>
        <w:rPr>
          <w:color w:val="auto"/>
          <w:highlight w:val="none"/>
        </w:rPr>
        <w:instrText xml:space="preserve"> HYPERLINK \l "_Toc4280" </w:instrText>
      </w:r>
      <w:r>
        <w:rPr>
          <w:color w:val="auto"/>
          <w:highlight w:val="none"/>
        </w:rPr>
        <w:fldChar w:fldCharType="separate"/>
      </w:r>
      <w:r>
        <w:rPr>
          <w:rFonts w:hint="eastAsia" w:ascii="宋体" w:hAnsi="宋体" w:cs="宋体"/>
          <w:color w:val="auto"/>
          <w:sz w:val="28"/>
          <w:szCs w:val="28"/>
          <w:highlight w:val="none"/>
        </w:rPr>
        <w:t>第一章 竞争性磋商公告</w:t>
      </w:r>
      <w:r>
        <w:rPr>
          <w:rFonts w:hint="eastAsia" w:ascii="宋体" w:hAnsi="宋体" w:cs="宋体"/>
          <w:color w:val="auto"/>
          <w:sz w:val="28"/>
          <w:szCs w:val="28"/>
          <w:highlight w:val="none"/>
        </w:rPr>
        <w:tab/>
      </w:r>
      <w:r>
        <w:rPr>
          <w:rFonts w:hint="eastAsia" w:ascii="宋体" w:hAnsi="宋体" w:cs="宋体"/>
          <w:color w:val="auto"/>
          <w:sz w:val="28"/>
          <w:szCs w:val="28"/>
          <w:highlight w:val="none"/>
        </w:rPr>
        <w:fldChar w:fldCharType="begin"/>
      </w:r>
      <w:r>
        <w:rPr>
          <w:rFonts w:hint="eastAsia" w:ascii="宋体" w:hAnsi="宋体" w:cs="宋体"/>
          <w:color w:val="auto"/>
          <w:sz w:val="28"/>
          <w:szCs w:val="28"/>
          <w:highlight w:val="none"/>
        </w:rPr>
        <w:instrText xml:space="preserve"> PAGEREF _Toc4280 </w:instrText>
      </w:r>
      <w:r>
        <w:rPr>
          <w:rFonts w:hint="eastAsia" w:ascii="宋体" w:hAnsi="宋体" w:cs="宋体"/>
          <w:color w:val="auto"/>
          <w:sz w:val="28"/>
          <w:szCs w:val="28"/>
          <w:highlight w:val="none"/>
        </w:rPr>
        <w:fldChar w:fldCharType="separate"/>
      </w:r>
      <w:r>
        <w:rPr>
          <w:rFonts w:hint="eastAsia" w:ascii="宋体" w:hAnsi="宋体" w:cs="宋体"/>
          <w:color w:val="auto"/>
          <w:sz w:val="28"/>
          <w:szCs w:val="28"/>
          <w:highlight w:val="none"/>
        </w:rPr>
        <w:t>- 1 -</w:t>
      </w:r>
      <w:r>
        <w:rPr>
          <w:rFonts w:hint="eastAsia" w:ascii="宋体" w:hAnsi="宋体" w:cs="宋体"/>
          <w:color w:val="auto"/>
          <w:sz w:val="28"/>
          <w:szCs w:val="28"/>
          <w:highlight w:val="none"/>
        </w:rPr>
        <w:fldChar w:fldCharType="end"/>
      </w:r>
      <w:r>
        <w:rPr>
          <w:rFonts w:hint="eastAsia" w:ascii="宋体" w:hAnsi="宋体" w:cs="宋体"/>
          <w:color w:val="auto"/>
          <w:sz w:val="28"/>
          <w:szCs w:val="28"/>
          <w:highlight w:val="none"/>
        </w:rPr>
        <w:fldChar w:fldCharType="end"/>
      </w:r>
    </w:p>
    <w:p w14:paraId="4C0D9E0B">
      <w:pPr>
        <w:pStyle w:val="24"/>
        <w:tabs>
          <w:tab w:val="right" w:leader="dot" w:pos="8844"/>
        </w:tabs>
        <w:rPr>
          <w:rFonts w:ascii="宋体" w:hAnsi="宋体" w:cs="宋体"/>
          <w:color w:val="auto"/>
          <w:sz w:val="28"/>
          <w:szCs w:val="28"/>
          <w:highlight w:val="none"/>
        </w:rPr>
      </w:pPr>
      <w:r>
        <w:rPr>
          <w:color w:val="auto"/>
          <w:highlight w:val="none"/>
        </w:rPr>
        <w:fldChar w:fldCharType="begin"/>
      </w:r>
      <w:r>
        <w:rPr>
          <w:color w:val="auto"/>
          <w:highlight w:val="none"/>
        </w:rPr>
        <w:instrText xml:space="preserve"> HYPERLINK \l "_Toc2255" </w:instrText>
      </w:r>
      <w:r>
        <w:rPr>
          <w:color w:val="auto"/>
          <w:highlight w:val="none"/>
        </w:rPr>
        <w:fldChar w:fldCharType="separate"/>
      </w:r>
      <w:r>
        <w:rPr>
          <w:rFonts w:hint="eastAsia" w:ascii="宋体" w:hAnsi="宋体" w:cs="宋体"/>
          <w:color w:val="auto"/>
          <w:sz w:val="28"/>
          <w:szCs w:val="28"/>
          <w:highlight w:val="none"/>
        </w:rPr>
        <w:t>第二章 供应商须知</w:t>
      </w:r>
      <w:r>
        <w:rPr>
          <w:rFonts w:hint="eastAsia" w:ascii="宋体" w:hAnsi="宋体" w:cs="宋体"/>
          <w:color w:val="auto"/>
          <w:sz w:val="28"/>
          <w:szCs w:val="28"/>
          <w:highlight w:val="none"/>
        </w:rPr>
        <w:tab/>
      </w:r>
      <w:r>
        <w:rPr>
          <w:rFonts w:hint="eastAsia" w:ascii="宋体" w:hAnsi="宋体" w:cs="宋体"/>
          <w:color w:val="auto"/>
          <w:sz w:val="28"/>
          <w:szCs w:val="28"/>
          <w:highlight w:val="none"/>
        </w:rPr>
        <w:fldChar w:fldCharType="begin"/>
      </w:r>
      <w:r>
        <w:rPr>
          <w:rFonts w:hint="eastAsia" w:ascii="宋体" w:hAnsi="宋体" w:cs="宋体"/>
          <w:color w:val="auto"/>
          <w:sz w:val="28"/>
          <w:szCs w:val="28"/>
          <w:highlight w:val="none"/>
        </w:rPr>
        <w:instrText xml:space="preserve"> PAGEREF _Toc2255 </w:instrText>
      </w:r>
      <w:r>
        <w:rPr>
          <w:rFonts w:hint="eastAsia" w:ascii="宋体" w:hAnsi="宋体" w:cs="宋体"/>
          <w:color w:val="auto"/>
          <w:sz w:val="28"/>
          <w:szCs w:val="28"/>
          <w:highlight w:val="none"/>
        </w:rPr>
        <w:fldChar w:fldCharType="separate"/>
      </w:r>
      <w:r>
        <w:rPr>
          <w:rFonts w:hint="eastAsia" w:ascii="宋体" w:hAnsi="宋体" w:cs="宋体"/>
          <w:color w:val="auto"/>
          <w:sz w:val="28"/>
          <w:szCs w:val="28"/>
          <w:highlight w:val="none"/>
        </w:rPr>
        <w:t>- 5 -</w:t>
      </w:r>
      <w:r>
        <w:rPr>
          <w:rFonts w:hint="eastAsia" w:ascii="宋体" w:hAnsi="宋体" w:cs="宋体"/>
          <w:color w:val="auto"/>
          <w:sz w:val="28"/>
          <w:szCs w:val="28"/>
          <w:highlight w:val="none"/>
        </w:rPr>
        <w:fldChar w:fldCharType="end"/>
      </w:r>
      <w:r>
        <w:rPr>
          <w:rFonts w:hint="eastAsia" w:ascii="宋体" w:hAnsi="宋体" w:cs="宋体"/>
          <w:color w:val="auto"/>
          <w:sz w:val="28"/>
          <w:szCs w:val="28"/>
          <w:highlight w:val="none"/>
        </w:rPr>
        <w:fldChar w:fldCharType="end"/>
      </w:r>
    </w:p>
    <w:p w14:paraId="311174BD">
      <w:pPr>
        <w:pStyle w:val="24"/>
        <w:tabs>
          <w:tab w:val="right" w:leader="dot" w:pos="8844"/>
        </w:tabs>
        <w:rPr>
          <w:rFonts w:ascii="宋体" w:hAnsi="宋体" w:cs="宋体"/>
          <w:color w:val="auto"/>
          <w:sz w:val="28"/>
          <w:szCs w:val="28"/>
          <w:highlight w:val="none"/>
        </w:rPr>
      </w:pPr>
      <w:r>
        <w:rPr>
          <w:color w:val="auto"/>
          <w:highlight w:val="none"/>
        </w:rPr>
        <w:fldChar w:fldCharType="begin"/>
      </w:r>
      <w:r>
        <w:rPr>
          <w:color w:val="auto"/>
          <w:highlight w:val="none"/>
        </w:rPr>
        <w:instrText xml:space="preserve"> HYPERLINK \l "_Toc32504" </w:instrText>
      </w:r>
      <w:r>
        <w:rPr>
          <w:color w:val="auto"/>
          <w:highlight w:val="none"/>
        </w:rPr>
        <w:fldChar w:fldCharType="separate"/>
      </w:r>
      <w:r>
        <w:rPr>
          <w:rFonts w:hint="eastAsia" w:ascii="宋体" w:hAnsi="宋体" w:cs="宋体"/>
          <w:color w:val="auto"/>
          <w:sz w:val="28"/>
          <w:szCs w:val="28"/>
          <w:highlight w:val="none"/>
        </w:rPr>
        <w:t>第三章 采购需求</w:t>
      </w:r>
      <w:bookmarkStart w:id="0" w:name="_Hlt106321309"/>
      <w:bookmarkStart w:id="1" w:name="_Hlt106321310"/>
      <w:r>
        <w:rPr>
          <w:rFonts w:hint="eastAsia" w:ascii="宋体" w:hAnsi="宋体" w:cs="宋体"/>
          <w:color w:val="auto"/>
          <w:sz w:val="28"/>
          <w:szCs w:val="28"/>
          <w:highlight w:val="none"/>
        </w:rPr>
        <w:tab/>
      </w:r>
      <w:bookmarkEnd w:id="0"/>
      <w:bookmarkEnd w:id="1"/>
      <w:r>
        <w:rPr>
          <w:rFonts w:hint="eastAsia" w:ascii="宋体" w:hAnsi="宋体" w:cs="宋体"/>
          <w:color w:val="auto"/>
          <w:sz w:val="28"/>
          <w:szCs w:val="28"/>
          <w:highlight w:val="none"/>
        </w:rPr>
        <w:fldChar w:fldCharType="begin"/>
      </w:r>
      <w:r>
        <w:rPr>
          <w:rFonts w:hint="eastAsia" w:ascii="宋体" w:hAnsi="宋体" w:cs="宋体"/>
          <w:color w:val="auto"/>
          <w:sz w:val="28"/>
          <w:szCs w:val="28"/>
          <w:highlight w:val="none"/>
        </w:rPr>
        <w:instrText xml:space="preserve"> PAGEREF _Toc32504 </w:instrText>
      </w:r>
      <w:r>
        <w:rPr>
          <w:rFonts w:hint="eastAsia" w:ascii="宋体" w:hAnsi="宋体" w:cs="宋体"/>
          <w:color w:val="auto"/>
          <w:sz w:val="28"/>
          <w:szCs w:val="28"/>
          <w:highlight w:val="none"/>
        </w:rPr>
        <w:fldChar w:fldCharType="separate"/>
      </w:r>
      <w:r>
        <w:rPr>
          <w:rFonts w:hint="eastAsia" w:ascii="宋体" w:hAnsi="宋体" w:cs="宋体"/>
          <w:color w:val="auto"/>
          <w:sz w:val="28"/>
          <w:szCs w:val="28"/>
          <w:highlight w:val="none"/>
        </w:rPr>
        <w:t>- 21 -</w:t>
      </w:r>
      <w:r>
        <w:rPr>
          <w:rFonts w:hint="eastAsia" w:ascii="宋体" w:hAnsi="宋体" w:cs="宋体"/>
          <w:color w:val="auto"/>
          <w:sz w:val="28"/>
          <w:szCs w:val="28"/>
          <w:highlight w:val="none"/>
        </w:rPr>
        <w:fldChar w:fldCharType="end"/>
      </w:r>
      <w:r>
        <w:rPr>
          <w:rFonts w:hint="eastAsia" w:ascii="宋体" w:hAnsi="宋体" w:cs="宋体"/>
          <w:color w:val="auto"/>
          <w:sz w:val="28"/>
          <w:szCs w:val="28"/>
          <w:highlight w:val="none"/>
        </w:rPr>
        <w:fldChar w:fldCharType="end"/>
      </w:r>
    </w:p>
    <w:p w14:paraId="401F3A74">
      <w:pPr>
        <w:pStyle w:val="24"/>
        <w:tabs>
          <w:tab w:val="right" w:leader="dot" w:pos="8844"/>
        </w:tabs>
        <w:rPr>
          <w:rFonts w:ascii="宋体" w:hAnsi="宋体" w:cs="宋体"/>
          <w:color w:val="auto"/>
          <w:sz w:val="28"/>
          <w:szCs w:val="28"/>
          <w:highlight w:val="none"/>
        </w:rPr>
      </w:pPr>
      <w:r>
        <w:rPr>
          <w:color w:val="auto"/>
          <w:highlight w:val="none"/>
        </w:rPr>
        <w:fldChar w:fldCharType="begin"/>
      </w:r>
      <w:r>
        <w:rPr>
          <w:color w:val="auto"/>
          <w:highlight w:val="none"/>
        </w:rPr>
        <w:instrText xml:space="preserve"> HYPERLINK \l "_Toc15972" </w:instrText>
      </w:r>
      <w:r>
        <w:rPr>
          <w:color w:val="auto"/>
          <w:highlight w:val="none"/>
        </w:rPr>
        <w:fldChar w:fldCharType="separate"/>
      </w:r>
      <w:r>
        <w:rPr>
          <w:rFonts w:hint="eastAsia" w:ascii="宋体" w:hAnsi="宋体" w:cs="宋体"/>
          <w:color w:val="auto"/>
          <w:sz w:val="28"/>
          <w:szCs w:val="28"/>
          <w:highlight w:val="none"/>
        </w:rPr>
        <w:t>第四章 评审程序、评审方法和评审标准</w:t>
      </w:r>
      <w:r>
        <w:rPr>
          <w:rFonts w:hint="eastAsia" w:ascii="宋体" w:hAnsi="宋体" w:cs="宋体"/>
          <w:color w:val="auto"/>
          <w:sz w:val="28"/>
          <w:szCs w:val="28"/>
          <w:highlight w:val="none"/>
        </w:rPr>
        <w:tab/>
      </w:r>
      <w:r>
        <w:rPr>
          <w:rFonts w:hint="eastAsia" w:ascii="宋体" w:hAnsi="宋体" w:cs="宋体"/>
          <w:color w:val="auto"/>
          <w:sz w:val="28"/>
          <w:szCs w:val="28"/>
          <w:highlight w:val="none"/>
        </w:rPr>
        <w:fldChar w:fldCharType="begin"/>
      </w:r>
      <w:r>
        <w:rPr>
          <w:rFonts w:hint="eastAsia" w:ascii="宋体" w:hAnsi="宋体" w:cs="宋体"/>
          <w:color w:val="auto"/>
          <w:sz w:val="28"/>
          <w:szCs w:val="28"/>
          <w:highlight w:val="none"/>
        </w:rPr>
        <w:instrText xml:space="preserve"> PAGEREF _Toc15972 </w:instrText>
      </w:r>
      <w:r>
        <w:rPr>
          <w:rFonts w:hint="eastAsia" w:ascii="宋体" w:hAnsi="宋体" w:cs="宋体"/>
          <w:color w:val="auto"/>
          <w:sz w:val="28"/>
          <w:szCs w:val="28"/>
          <w:highlight w:val="none"/>
        </w:rPr>
        <w:fldChar w:fldCharType="separate"/>
      </w:r>
      <w:r>
        <w:rPr>
          <w:rFonts w:hint="eastAsia" w:ascii="宋体" w:hAnsi="宋体" w:cs="宋体"/>
          <w:color w:val="auto"/>
          <w:sz w:val="28"/>
          <w:szCs w:val="28"/>
          <w:highlight w:val="none"/>
        </w:rPr>
        <w:t>- 27 -</w:t>
      </w:r>
      <w:r>
        <w:rPr>
          <w:rFonts w:hint="eastAsia" w:ascii="宋体" w:hAnsi="宋体" w:cs="宋体"/>
          <w:color w:val="auto"/>
          <w:sz w:val="28"/>
          <w:szCs w:val="28"/>
          <w:highlight w:val="none"/>
        </w:rPr>
        <w:fldChar w:fldCharType="end"/>
      </w:r>
      <w:r>
        <w:rPr>
          <w:rFonts w:hint="eastAsia" w:ascii="宋体" w:hAnsi="宋体" w:cs="宋体"/>
          <w:color w:val="auto"/>
          <w:sz w:val="28"/>
          <w:szCs w:val="28"/>
          <w:highlight w:val="none"/>
        </w:rPr>
        <w:fldChar w:fldCharType="end"/>
      </w:r>
    </w:p>
    <w:p w14:paraId="212A38E0">
      <w:pPr>
        <w:pStyle w:val="24"/>
        <w:tabs>
          <w:tab w:val="right" w:leader="dot" w:pos="8844"/>
        </w:tabs>
        <w:rPr>
          <w:rFonts w:ascii="宋体" w:hAnsi="宋体" w:cs="宋体"/>
          <w:color w:val="auto"/>
          <w:sz w:val="28"/>
          <w:szCs w:val="28"/>
          <w:highlight w:val="none"/>
        </w:rPr>
      </w:pPr>
      <w:r>
        <w:rPr>
          <w:color w:val="auto"/>
          <w:highlight w:val="none"/>
        </w:rPr>
        <w:fldChar w:fldCharType="begin"/>
      </w:r>
      <w:r>
        <w:rPr>
          <w:color w:val="auto"/>
          <w:highlight w:val="none"/>
        </w:rPr>
        <w:instrText xml:space="preserve"> HYPERLINK \l "_Toc8922" </w:instrText>
      </w:r>
      <w:r>
        <w:rPr>
          <w:color w:val="auto"/>
          <w:highlight w:val="none"/>
        </w:rPr>
        <w:fldChar w:fldCharType="separate"/>
      </w:r>
      <w:r>
        <w:rPr>
          <w:rFonts w:hint="eastAsia" w:ascii="宋体" w:hAnsi="宋体" w:cs="宋体"/>
          <w:color w:val="auto"/>
          <w:sz w:val="28"/>
          <w:szCs w:val="28"/>
          <w:highlight w:val="none"/>
        </w:rPr>
        <w:t>第五章 响应文件格式</w:t>
      </w:r>
      <w:r>
        <w:rPr>
          <w:rFonts w:hint="eastAsia" w:ascii="宋体" w:hAnsi="宋体" w:cs="宋体"/>
          <w:color w:val="auto"/>
          <w:sz w:val="28"/>
          <w:szCs w:val="28"/>
          <w:highlight w:val="none"/>
        </w:rPr>
        <w:tab/>
      </w:r>
      <w:r>
        <w:rPr>
          <w:rFonts w:hint="eastAsia" w:ascii="宋体" w:hAnsi="宋体" w:cs="宋体"/>
          <w:color w:val="auto"/>
          <w:sz w:val="28"/>
          <w:szCs w:val="28"/>
          <w:highlight w:val="none"/>
        </w:rPr>
        <w:fldChar w:fldCharType="begin"/>
      </w:r>
      <w:r>
        <w:rPr>
          <w:rFonts w:hint="eastAsia" w:ascii="宋体" w:hAnsi="宋体" w:cs="宋体"/>
          <w:color w:val="auto"/>
          <w:sz w:val="28"/>
          <w:szCs w:val="28"/>
          <w:highlight w:val="none"/>
        </w:rPr>
        <w:instrText xml:space="preserve"> PAGEREF _Toc8922 </w:instrText>
      </w:r>
      <w:r>
        <w:rPr>
          <w:rFonts w:hint="eastAsia" w:ascii="宋体" w:hAnsi="宋体" w:cs="宋体"/>
          <w:color w:val="auto"/>
          <w:sz w:val="28"/>
          <w:szCs w:val="28"/>
          <w:highlight w:val="none"/>
        </w:rPr>
        <w:fldChar w:fldCharType="separate"/>
      </w:r>
      <w:r>
        <w:rPr>
          <w:rFonts w:hint="eastAsia" w:ascii="宋体" w:hAnsi="宋体" w:cs="宋体"/>
          <w:color w:val="auto"/>
          <w:sz w:val="28"/>
          <w:szCs w:val="28"/>
          <w:highlight w:val="none"/>
        </w:rPr>
        <w:t>- 35 -</w:t>
      </w:r>
      <w:r>
        <w:rPr>
          <w:rFonts w:hint="eastAsia" w:ascii="宋体" w:hAnsi="宋体" w:cs="宋体"/>
          <w:color w:val="auto"/>
          <w:sz w:val="28"/>
          <w:szCs w:val="28"/>
          <w:highlight w:val="none"/>
        </w:rPr>
        <w:fldChar w:fldCharType="end"/>
      </w:r>
      <w:r>
        <w:rPr>
          <w:rFonts w:hint="eastAsia" w:ascii="宋体" w:hAnsi="宋体" w:cs="宋体"/>
          <w:color w:val="auto"/>
          <w:sz w:val="28"/>
          <w:szCs w:val="28"/>
          <w:highlight w:val="none"/>
        </w:rPr>
        <w:fldChar w:fldCharType="end"/>
      </w:r>
    </w:p>
    <w:p w14:paraId="11C9679D">
      <w:pPr>
        <w:pStyle w:val="24"/>
        <w:tabs>
          <w:tab w:val="right" w:leader="dot" w:pos="8844"/>
        </w:tabs>
        <w:rPr>
          <w:rFonts w:ascii="宋体" w:hAnsi="宋体" w:cs="宋体"/>
          <w:color w:val="auto"/>
          <w:sz w:val="28"/>
          <w:szCs w:val="28"/>
          <w:highlight w:val="none"/>
        </w:rPr>
      </w:pPr>
      <w:r>
        <w:rPr>
          <w:color w:val="auto"/>
          <w:highlight w:val="none"/>
        </w:rPr>
        <w:fldChar w:fldCharType="begin"/>
      </w:r>
      <w:r>
        <w:rPr>
          <w:color w:val="auto"/>
          <w:highlight w:val="none"/>
        </w:rPr>
        <w:instrText xml:space="preserve"> HYPERLINK \l "_Toc13304" </w:instrText>
      </w:r>
      <w:r>
        <w:rPr>
          <w:color w:val="auto"/>
          <w:highlight w:val="none"/>
        </w:rPr>
        <w:fldChar w:fldCharType="separate"/>
      </w:r>
      <w:r>
        <w:rPr>
          <w:rFonts w:hint="eastAsia" w:ascii="宋体" w:hAnsi="宋体" w:cs="宋体"/>
          <w:color w:val="auto"/>
          <w:sz w:val="28"/>
          <w:szCs w:val="28"/>
          <w:highlight w:val="none"/>
        </w:rPr>
        <w:t>第六章 合同文本</w:t>
      </w:r>
      <w:r>
        <w:rPr>
          <w:rFonts w:hint="eastAsia" w:ascii="宋体" w:hAnsi="宋体" w:cs="宋体"/>
          <w:color w:val="auto"/>
          <w:sz w:val="28"/>
          <w:szCs w:val="28"/>
          <w:highlight w:val="none"/>
        </w:rPr>
        <w:tab/>
      </w:r>
      <w:r>
        <w:rPr>
          <w:rFonts w:hint="eastAsia" w:ascii="宋体" w:hAnsi="宋体" w:cs="宋体"/>
          <w:color w:val="auto"/>
          <w:sz w:val="28"/>
          <w:szCs w:val="28"/>
          <w:highlight w:val="none"/>
        </w:rPr>
        <w:fldChar w:fldCharType="begin"/>
      </w:r>
      <w:r>
        <w:rPr>
          <w:rFonts w:hint="eastAsia" w:ascii="宋体" w:hAnsi="宋体" w:cs="宋体"/>
          <w:color w:val="auto"/>
          <w:sz w:val="28"/>
          <w:szCs w:val="28"/>
          <w:highlight w:val="none"/>
        </w:rPr>
        <w:instrText xml:space="preserve"> PAGEREF _Toc13304 </w:instrText>
      </w:r>
      <w:r>
        <w:rPr>
          <w:rFonts w:hint="eastAsia" w:ascii="宋体" w:hAnsi="宋体" w:cs="宋体"/>
          <w:color w:val="auto"/>
          <w:sz w:val="28"/>
          <w:szCs w:val="28"/>
          <w:highlight w:val="none"/>
        </w:rPr>
        <w:fldChar w:fldCharType="separate"/>
      </w:r>
      <w:r>
        <w:rPr>
          <w:rFonts w:hint="eastAsia" w:ascii="宋体" w:hAnsi="宋体" w:cs="宋体"/>
          <w:color w:val="auto"/>
          <w:sz w:val="28"/>
          <w:szCs w:val="28"/>
          <w:highlight w:val="none"/>
        </w:rPr>
        <w:t>- 60 -</w:t>
      </w:r>
      <w:r>
        <w:rPr>
          <w:rFonts w:hint="eastAsia" w:ascii="宋体" w:hAnsi="宋体" w:cs="宋体"/>
          <w:color w:val="auto"/>
          <w:sz w:val="28"/>
          <w:szCs w:val="28"/>
          <w:highlight w:val="none"/>
        </w:rPr>
        <w:fldChar w:fldCharType="end"/>
      </w:r>
      <w:r>
        <w:rPr>
          <w:rFonts w:hint="eastAsia" w:ascii="宋体" w:hAnsi="宋体" w:cs="宋体"/>
          <w:color w:val="auto"/>
          <w:sz w:val="28"/>
          <w:szCs w:val="28"/>
          <w:highlight w:val="none"/>
        </w:rPr>
        <w:fldChar w:fldCharType="end"/>
      </w:r>
    </w:p>
    <w:p w14:paraId="51ACBF60">
      <w:pPr>
        <w:pStyle w:val="27"/>
        <w:rPr>
          <w:color w:val="auto"/>
          <w:sz w:val="28"/>
          <w:szCs w:val="28"/>
          <w:highlight w:val="none"/>
        </w:rPr>
      </w:pPr>
      <w:r>
        <w:rPr>
          <w:rFonts w:hint="eastAsia" w:ascii="宋体" w:hAnsi="宋体" w:cs="宋体"/>
          <w:color w:val="auto"/>
          <w:sz w:val="28"/>
          <w:szCs w:val="28"/>
          <w:highlight w:val="none"/>
        </w:rPr>
        <w:fldChar w:fldCharType="end"/>
      </w:r>
    </w:p>
    <w:p w14:paraId="7DDFD67F">
      <w:pPr>
        <w:spacing w:line="400" w:lineRule="exact"/>
        <w:jc w:val="left"/>
        <w:rPr>
          <w:rFonts w:ascii="宋体" w:hAnsi="宋体"/>
          <w:b/>
          <w:color w:val="auto"/>
          <w:sz w:val="32"/>
          <w:szCs w:val="32"/>
          <w:highlight w:val="none"/>
        </w:rPr>
      </w:pPr>
    </w:p>
    <w:p w14:paraId="78033879">
      <w:pPr>
        <w:spacing w:line="400" w:lineRule="exact"/>
        <w:jc w:val="center"/>
        <w:rPr>
          <w:rFonts w:ascii="宋体" w:hAnsi="宋体"/>
          <w:b/>
          <w:color w:val="auto"/>
          <w:sz w:val="32"/>
          <w:szCs w:val="32"/>
          <w:highlight w:val="none"/>
        </w:rPr>
      </w:pPr>
    </w:p>
    <w:p w14:paraId="0181DED8">
      <w:pPr>
        <w:spacing w:line="400" w:lineRule="exact"/>
        <w:jc w:val="center"/>
        <w:rPr>
          <w:rFonts w:ascii="宋体" w:hAnsi="宋体"/>
          <w:b/>
          <w:color w:val="auto"/>
          <w:sz w:val="32"/>
          <w:szCs w:val="32"/>
          <w:highlight w:val="none"/>
        </w:rPr>
      </w:pPr>
      <w:bookmarkStart w:id="190" w:name="_GoBack"/>
      <w:bookmarkEnd w:id="190"/>
    </w:p>
    <w:p w14:paraId="6BF381A0">
      <w:pPr>
        <w:spacing w:line="400" w:lineRule="exact"/>
        <w:jc w:val="center"/>
        <w:rPr>
          <w:rFonts w:ascii="宋体" w:hAnsi="宋体"/>
          <w:b/>
          <w:color w:val="auto"/>
          <w:sz w:val="32"/>
          <w:szCs w:val="32"/>
          <w:highlight w:val="none"/>
        </w:rPr>
      </w:pPr>
    </w:p>
    <w:p w14:paraId="071C8496">
      <w:pPr>
        <w:spacing w:line="400" w:lineRule="exact"/>
        <w:jc w:val="center"/>
        <w:rPr>
          <w:rFonts w:ascii="宋体" w:hAnsi="宋体"/>
          <w:b/>
          <w:color w:val="auto"/>
          <w:sz w:val="32"/>
          <w:szCs w:val="32"/>
          <w:highlight w:val="none"/>
        </w:rPr>
      </w:pPr>
    </w:p>
    <w:p w14:paraId="7556CC50">
      <w:pPr>
        <w:spacing w:line="400" w:lineRule="exact"/>
        <w:rPr>
          <w:rFonts w:ascii="宋体" w:hAnsi="宋体"/>
          <w:b/>
          <w:color w:val="auto"/>
          <w:sz w:val="32"/>
          <w:szCs w:val="32"/>
          <w:highlight w:val="none"/>
        </w:rPr>
        <w:sectPr>
          <w:footerReference r:id="rId5" w:type="first"/>
          <w:footerReference r:id="rId4" w:type="default"/>
          <w:pgSz w:w="11906" w:h="16838"/>
          <w:pgMar w:top="1134" w:right="1134" w:bottom="1134" w:left="1134" w:header="851" w:footer="992" w:gutter="0"/>
          <w:pgNumType w:fmt="numberInDash" w:start="1"/>
          <w:cols w:space="720" w:num="1"/>
          <w:docGrid w:type="lines" w:linePitch="312" w:charSpace="0"/>
        </w:sectPr>
      </w:pPr>
    </w:p>
    <w:p w14:paraId="02852669">
      <w:pPr>
        <w:pStyle w:val="4"/>
        <w:jc w:val="center"/>
        <w:rPr>
          <w:rStyle w:val="56"/>
          <w:rFonts w:hint="default"/>
          <w:b/>
          <w:color w:val="auto"/>
          <w:sz w:val="32"/>
          <w:szCs w:val="32"/>
          <w:highlight w:val="none"/>
        </w:rPr>
      </w:pPr>
      <w:bookmarkStart w:id="2" w:name="_Toc28543"/>
      <w:bookmarkStart w:id="3" w:name="_Toc8084"/>
      <w:bookmarkStart w:id="4" w:name="_Toc4280"/>
      <w:bookmarkStart w:id="5" w:name="_Toc44229877"/>
      <w:r>
        <w:rPr>
          <w:rStyle w:val="56"/>
          <w:b/>
          <w:color w:val="auto"/>
          <w:sz w:val="32"/>
          <w:szCs w:val="32"/>
          <w:highlight w:val="none"/>
        </w:rPr>
        <w:t>第一章 竞争性磋商公告</w:t>
      </w:r>
      <w:bookmarkEnd w:id="2"/>
      <w:bookmarkEnd w:id="3"/>
      <w:bookmarkEnd w:id="4"/>
      <w:bookmarkEnd w:id="5"/>
    </w:p>
    <w:p w14:paraId="07FB0726">
      <w:pPr>
        <w:pBdr>
          <w:top w:val="single" w:color="auto" w:sz="4" w:space="1"/>
          <w:left w:val="single" w:color="auto" w:sz="4" w:space="4"/>
          <w:bottom w:val="single" w:color="auto" w:sz="4" w:space="1"/>
          <w:right w:val="single" w:color="auto" w:sz="4" w:space="4"/>
        </w:pBdr>
        <w:rPr>
          <w:rFonts w:ascii="宋体" w:hAnsi="宋体"/>
          <w:b/>
          <w:bCs/>
          <w:color w:val="auto"/>
          <w:szCs w:val="21"/>
          <w:highlight w:val="none"/>
        </w:rPr>
      </w:pPr>
      <w:bookmarkStart w:id="6" w:name="_Hlk37430271"/>
      <w:r>
        <w:rPr>
          <w:rFonts w:hint="eastAsia" w:ascii="宋体" w:hAnsi="宋体"/>
          <w:b/>
          <w:bCs/>
          <w:color w:val="auto"/>
          <w:szCs w:val="21"/>
          <w:highlight w:val="none"/>
        </w:rPr>
        <w:t>项目概况</w:t>
      </w:r>
    </w:p>
    <w:p w14:paraId="53FA5048">
      <w:pPr>
        <w:pBdr>
          <w:top w:val="single" w:color="auto" w:sz="4" w:space="1"/>
          <w:left w:val="single" w:color="auto" w:sz="4" w:space="4"/>
          <w:bottom w:val="single" w:color="auto" w:sz="4" w:space="1"/>
          <w:right w:val="single" w:color="auto" w:sz="4" w:space="4"/>
        </w:pBdr>
        <w:ind w:firstLine="420" w:firstLineChars="200"/>
        <w:rPr>
          <w:rFonts w:ascii="宋体" w:hAnsi="宋体"/>
          <w:color w:val="auto"/>
          <w:szCs w:val="21"/>
          <w:highlight w:val="none"/>
        </w:rPr>
      </w:pPr>
      <w:r>
        <w:rPr>
          <w:rFonts w:hint="eastAsia" w:ascii="宋体" w:hAnsi="宋体"/>
          <w:color w:val="auto"/>
          <w:szCs w:val="21"/>
          <w:highlight w:val="none"/>
          <w:u w:val="single"/>
          <w:lang w:eastAsia="zh-CN"/>
        </w:rPr>
        <w:t>中华人民共和国广西出入境边防检查总站2025年常规性项目委托审计服务采购</w:t>
      </w:r>
      <w:r>
        <w:rPr>
          <w:rFonts w:hint="eastAsia" w:ascii="宋体" w:hAnsi="宋体"/>
          <w:color w:val="auto"/>
          <w:szCs w:val="21"/>
          <w:highlight w:val="none"/>
        </w:rPr>
        <w:t>的潜在供应商应在</w:t>
      </w:r>
      <w:r>
        <w:rPr>
          <w:rFonts w:hint="eastAsia" w:ascii="宋体" w:hAnsi="宋体" w:cs="宋体"/>
          <w:color w:val="auto"/>
          <w:szCs w:val="21"/>
          <w:highlight w:val="none"/>
          <w:u w:val="single"/>
          <w:lang w:eastAsia="zh-CN"/>
        </w:rPr>
        <w:t>广西城建咨询设计有限公司（南宁市青秀区金湖路58号广西建设大厦三楼）</w:t>
      </w:r>
      <w:r>
        <w:rPr>
          <w:rFonts w:hint="eastAsia" w:ascii="宋体" w:hAnsi="宋体"/>
          <w:color w:val="auto"/>
          <w:szCs w:val="21"/>
          <w:highlight w:val="none"/>
        </w:rPr>
        <w:t>获取竞争性磋商文件，并于</w:t>
      </w:r>
      <w:r>
        <w:rPr>
          <w:rFonts w:hint="eastAsia" w:ascii="宋体" w:hAnsi="宋体"/>
          <w:color w:val="auto"/>
          <w:szCs w:val="21"/>
          <w:highlight w:val="none"/>
          <w:u w:val="single"/>
          <w:lang w:eastAsia="zh-CN"/>
        </w:rPr>
        <w:t>2025年6月24日9时00分</w:t>
      </w:r>
      <w:r>
        <w:rPr>
          <w:rFonts w:hint="eastAsia" w:ascii="宋体" w:hAnsi="宋体"/>
          <w:bCs/>
          <w:color w:val="auto"/>
          <w:szCs w:val="21"/>
          <w:highlight w:val="none"/>
        </w:rPr>
        <w:t>（北京时间）前提交响应</w:t>
      </w:r>
      <w:r>
        <w:rPr>
          <w:rFonts w:ascii="宋体" w:hAnsi="宋体"/>
          <w:bCs/>
          <w:color w:val="auto"/>
          <w:szCs w:val="21"/>
          <w:highlight w:val="none"/>
        </w:rPr>
        <w:t>文件</w:t>
      </w:r>
      <w:r>
        <w:rPr>
          <w:rFonts w:hint="eastAsia" w:ascii="宋体" w:hAnsi="宋体"/>
          <w:color w:val="auto"/>
          <w:szCs w:val="21"/>
          <w:highlight w:val="none"/>
        </w:rPr>
        <w:t>。</w:t>
      </w:r>
    </w:p>
    <w:p w14:paraId="14E24E67">
      <w:pPr>
        <w:pStyle w:val="5"/>
        <w:spacing w:before="0" w:after="0" w:line="440" w:lineRule="exact"/>
        <w:rPr>
          <w:rFonts w:ascii="黑体" w:hAnsi="黑体" w:eastAsia="黑体" w:cs="宋体"/>
          <w:b w:val="0"/>
          <w:bCs/>
          <w:color w:val="auto"/>
          <w:sz w:val="24"/>
          <w:szCs w:val="24"/>
          <w:highlight w:val="none"/>
        </w:rPr>
      </w:pPr>
      <w:bookmarkStart w:id="7" w:name="_Toc35393629"/>
      <w:bookmarkStart w:id="8" w:name="_Toc24476"/>
      <w:bookmarkStart w:id="9" w:name="_Toc35393798"/>
      <w:bookmarkStart w:id="10" w:name="_Toc28359089"/>
      <w:bookmarkStart w:id="11" w:name="_Toc44229878"/>
      <w:bookmarkStart w:id="12" w:name="_Toc28359012"/>
      <w:r>
        <w:rPr>
          <w:rFonts w:hint="eastAsia" w:ascii="黑体" w:hAnsi="黑体" w:eastAsia="黑体" w:cs="宋体"/>
          <w:b w:val="0"/>
          <w:bCs/>
          <w:color w:val="auto"/>
          <w:sz w:val="24"/>
          <w:szCs w:val="24"/>
          <w:highlight w:val="none"/>
        </w:rPr>
        <w:t>一、项目基本情况</w:t>
      </w:r>
      <w:bookmarkEnd w:id="7"/>
      <w:bookmarkEnd w:id="8"/>
      <w:bookmarkEnd w:id="9"/>
      <w:bookmarkEnd w:id="10"/>
      <w:bookmarkEnd w:id="11"/>
      <w:bookmarkEnd w:id="12"/>
    </w:p>
    <w:p w14:paraId="585993CC">
      <w:pPr>
        <w:spacing w:line="440" w:lineRule="exact"/>
        <w:ind w:firstLine="420" w:firstLineChars="200"/>
        <w:rPr>
          <w:rFonts w:ascii="宋体" w:hAnsi="宋体"/>
          <w:color w:val="auto"/>
          <w:szCs w:val="21"/>
          <w:highlight w:val="none"/>
        </w:rPr>
      </w:pPr>
      <w:r>
        <w:rPr>
          <w:rFonts w:hint="eastAsia" w:ascii="宋体" w:hAnsi="宋体"/>
          <w:color w:val="auto"/>
          <w:szCs w:val="21"/>
          <w:highlight w:val="none"/>
        </w:rPr>
        <w:t>1</w:t>
      </w:r>
      <w:r>
        <w:rPr>
          <w:rFonts w:ascii="宋体" w:hAnsi="宋体"/>
          <w:color w:val="auto"/>
          <w:szCs w:val="21"/>
          <w:highlight w:val="none"/>
        </w:rPr>
        <w:t>.</w:t>
      </w:r>
      <w:r>
        <w:rPr>
          <w:rFonts w:hint="eastAsia" w:ascii="宋体" w:hAnsi="宋体"/>
          <w:color w:val="auto"/>
          <w:szCs w:val="21"/>
          <w:highlight w:val="none"/>
        </w:rPr>
        <w:t>项目编号：</w:t>
      </w:r>
      <w:r>
        <w:rPr>
          <w:rFonts w:hint="eastAsia" w:ascii="宋体" w:hAnsi="宋体"/>
          <w:color w:val="auto"/>
          <w:szCs w:val="21"/>
          <w:highlight w:val="none"/>
          <w:lang w:eastAsia="zh-CN"/>
        </w:rPr>
        <w:t>CJAF2025235F</w:t>
      </w:r>
    </w:p>
    <w:p w14:paraId="2BE9C4D8">
      <w:pPr>
        <w:spacing w:line="440" w:lineRule="exact"/>
        <w:ind w:firstLine="420" w:firstLineChars="200"/>
        <w:rPr>
          <w:rFonts w:hint="eastAsia" w:ascii="宋体" w:hAnsi="宋体" w:eastAsia="宋体"/>
          <w:color w:val="auto"/>
          <w:szCs w:val="21"/>
          <w:highlight w:val="none"/>
          <w:u w:val="single"/>
          <w:lang w:eastAsia="zh-CN"/>
        </w:rPr>
      </w:pPr>
      <w:r>
        <w:rPr>
          <w:rFonts w:hint="eastAsia" w:ascii="宋体" w:hAnsi="宋体"/>
          <w:color w:val="auto"/>
          <w:szCs w:val="21"/>
          <w:highlight w:val="none"/>
        </w:rPr>
        <w:t>2</w:t>
      </w:r>
      <w:r>
        <w:rPr>
          <w:rFonts w:ascii="宋体" w:hAnsi="宋体"/>
          <w:color w:val="auto"/>
          <w:szCs w:val="21"/>
          <w:highlight w:val="none"/>
        </w:rPr>
        <w:t>.</w:t>
      </w:r>
      <w:r>
        <w:rPr>
          <w:rFonts w:hint="eastAsia" w:ascii="宋体" w:hAnsi="宋体"/>
          <w:color w:val="auto"/>
          <w:szCs w:val="21"/>
          <w:highlight w:val="none"/>
        </w:rPr>
        <w:t>项目名称：</w:t>
      </w:r>
      <w:r>
        <w:rPr>
          <w:rFonts w:hint="eastAsia" w:ascii="宋体" w:hAnsi="宋体"/>
          <w:color w:val="auto"/>
          <w:szCs w:val="21"/>
          <w:highlight w:val="none"/>
          <w:lang w:eastAsia="zh-CN"/>
        </w:rPr>
        <w:t>中华人民共和国广西出入境边防检查总站2025年常规性项目委托审计服务采购</w:t>
      </w:r>
    </w:p>
    <w:p w14:paraId="5A097595">
      <w:pPr>
        <w:spacing w:line="440" w:lineRule="exact"/>
        <w:ind w:firstLine="420" w:firstLineChars="200"/>
        <w:rPr>
          <w:rFonts w:ascii="宋体" w:hAnsi="宋体"/>
          <w:color w:val="auto"/>
          <w:szCs w:val="21"/>
          <w:highlight w:val="none"/>
        </w:rPr>
      </w:pPr>
      <w:r>
        <w:rPr>
          <w:rFonts w:hint="eastAsia" w:ascii="宋体" w:hAnsi="宋体"/>
          <w:color w:val="auto"/>
          <w:szCs w:val="21"/>
          <w:highlight w:val="none"/>
        </w:rPr>
        <w:t>3</w:t>
      </w:r>
      <w:r>
        <w:rPr>
          <w:rFonts w:ascii="宋体" w:hAnsi="宋体"/>
          <w:color w:val="auto"/>
          <w:szCs w:val="21"/>
          <w:highlight w:val="none"/>
        </w:rPr>
        <w:t>.</w:t>
      </w:r>
      <w:r>
        <w:rPr>
          <w:rFonts w:hint="eastAsia" w:ascii="宋体" w:hAnsi="宋体"/>
          <w:color w:val="auto"/>
          <w:szCs w:val="21"/>
          <w:highlight w:val="none"/>
        </w:rPr>
        <w:t>采购方式：竞争性磋商</w:t>
      </w:r>
    </w:p>
    <w:p w14:paraId="34CF7503">
      <w:pPr>
        <w:spacing w:line="440" w:lineRule="exact"/>
        <w:ind w:firstLine="420" w:firstLineChars="200"/>
        <w:rPr>
          <w:rFonts w:ascii="宋体" w:hAnsi="宋体"/>
          <w:color w:val="auto"/>
          <w:szCs w:val="21"/>
          <w:highlight w:val="none"/>
        </w:rPr>
      </w:pPr>
      <w:r>
        <w:rPr>
          <w:rFonts w:hint="eastAsia" w:ascii="宋体" w:hAnsi="宋体"/>
          <w:color w:val="auto"/>
          <w:szCs w:val="21"/>
          <w:highlight w:val="none"/>
        </w:rPr>
        <w:t>4</w:t>
      </w:r>
      <w:r>
        <w:rPr>
          <w:rFonts w:ascii="宋体" w:hAnsi="宋体"/>
          <w:color w:val="auto"/>
          <w:szCs w:val="21"/>
          <w:highlight w:val="none"/>
        </w:rPr>
        <w:t>.</w:t>
      </w:r>
      <w:r>
        <w:rPr>
          <w:rFonts w:hint="eastAsia" w:ascii="宋体" w:hAnsi="宋体"/>
          <w:color w:val="auto"/>
          <w:szCs w:val="21"/>
          <w:highlight w:val="none"/>
        </w:rPr>
        <w:t>预算金额：人民币</w:t>
      </w:r>
      <w:r>
        <w:rPr>
          <w:rFonts w:hint="eastAsia" w:ascii="宋体" w:hAnsi="宋体"/>
          <w:color w:val="auto"/>
          <w:szCs w:val="21"/>
          <w:highlight w:val="none"/>
          <w:lang w:eastAsia="zh-CN"/>
        </w:rPr>
        <w:t>叁拾伍万元整</w:t>
      </w:r>
      <w:r>
        <w:rPr>
          <w:rFonts w:hint="eastAsia" w:ascii="宋体" w:hAnsi="宋体"/>
          <w:color w:val="auto"/>
          <w:szCs w:val="21"/>
          <w:highlight w:val="none"/>
        </w:rPr>
        <w:t>/年（¥</w:t>
      </w:r>
      <w:r>
        <w:rPr>
          <w:rFonts w:hint="eastAsia" w:ascii="宋体" w:hAnsi="宋体"/>
          <w:color w:val="auto"/>
          <w:szCs w:val="21"/>
          <w:highlight w:val="none"/>
          <w:lang w:val="en-US" w:eastAsia="zh-CN"/>
        </w:rPr>
        <w:t>35</w:t>
      </w:r>
      <w:r>
        <w:rPr>
          <w:rFonts w:hint="eastAsia" w:ascii="宋体" w:hAnsi="宋体"/>
          <w:color w:val="auto"/>
          <w:szCs w:val="21"/>
          <w:highlight w:val="none"/>
        </w:rPr>
        <w:t>0000.00/年），</w:t>
      </w:r>
      <w:r>
        <w:rPr>
          <w:rFonts w:ascii="宋体" w:hAnsi="宋体"/>
          <w:color w:val="auto"/>
          <w:szCs w:val="21"/>
          <w:highlight w:val="none"/>
          <w:lang w:val="en"/>
        </w:rPr>
        <w:t>2</w:t>
      </w:r>
      <w:r>
        <w:rPr>
          <w:rFonts w:hint="eastAsia" w:ascii="宋体" w:hAnsi="宋体"/>
          <w:color w:val="auto"/>
          <w:szCs w:val="21"/>
          <w:highlight w:val="none"/>
          <w:lang w:val="en"/>
        </w:rPr>
        <w:t>年预算</w:t>
      </w:r>
      <w:r>
        <w:rPr>
          <w:rFonts w:hint="eastAsia" w:ascii="宋体" w:hAnsi="宋体"/>
          <w:color w:val="auto"/>
          <w:szCs w:val="21"/>
          <w:highlight w:val="none"/>
        </w:rPr>
        <w:t>人民币</w:t>
      </w:r>
      <w:r>
        <w:rPr>
          <w:rFonts w:hint="eastAsia" w:ascii="宋体" w:hAnsi="宋体"/>
          <w:color w:val="auto"/>
          <w:szCs w:val="21"/>
          <w:highlight w:val="none"/>
          <w:lang w:eastAsia="zh-CN"/>
        </w:rPr>
        <w:t>柒拾万元整</w:t>
      </w:r>
      <w:r>
        <w:rPr>
          <w:rFonts w:hint="eastAsia" w:ascii="宋体" w:hAnsi="宋体"/>
          <w:color w:val="auto"/>
          <w:szCs w:val="21"/>
          <w:highlight w:val="none"/>
        </w:rPr>
        <w:t>（¥</w:t>
      </w:r>
      <w:r>
        <w:rPr>
          <w:rFonts w:hint="eastAsia" w:ascii="宋体" w:hAnsi="宋体"/>
          <w:color w:val="auto"/>
          <w:szCs w:val="21"/>
          <w:highlight w:val="none"/>
          <w:lang w:val="en-US" w:eastAsia="zh-CN"/>
        </w:rPr>
        <w:t>70</w:t>
      </w:r>
      <w:r>
        <w:rPr>
          <w:rFonts w:hint="eastAsia" w:ascii="宋体" w:hAnsi="宋体"/>
          <w:color w:val="auto"/>
          <w:szCs w:val="21"/>
          <w:highlight w:val="none"/>
        </w:rPr>
        <w:t>0000.00）</w:t>
      </w:r>
    </w:p>
    <w:p w14:paraId="2CAA5984">
      <w:pPr>
        <w:spacing w:line="440" w:lineRule="exact"/>
        <w:ind w:firstLine="420" w:firstLineChars="200"/>
        <w:rPr>
          <w:rFonts w:hint="eastAsia" w:ascii="宋体" w:hAnsi="宋体"/>
          <w:color w:val="auto"/>
          <w:szCs w:val="21"/>
          <w:highlight w:val="none"/>
          <w:lang w:val="en-US" w:eastAsia="zh-CN"/>
        </w:rPr>
      </w:pPr>
      <w:r>
        <w:rPr>
          <w:rFonts w:hint="eastAsia" w:ascii="宋体" w:hAnsi="宋体"/>
          <w:color w:val="auto"/>
          <w:szCs w:val="21"/>
          <w:highlight w:val="none"/>
        </w:rPr>
        <w:t>5</w:t>
      </w:r>
      <w:r>
        <w:rPr>
          <w:rFonts w:ascii="宋体" w:hAnsi="宋体"/>
          <w:color w:val="auto"/>
          <w:szCs w:val="21"/>
          <w:highlight w:val="none"/>
        </w:rPr>
        <w:t>.</w:t>
      </w:r>
      <w:r>
        <w:rPr>
          <w:rFonts w:hint="eastAsia" w:ascii="宋体" w:hAnsi="宋体"/>
          <w:color w:val="auto"/>
          <w:szCs w:val="21"/>
          <w:highlight w:val="none"/>
          <w:lang w:val="en-US" w:eastAsia="zh-CN"/>
        </w:rPr>
        <w:t>最高限价：</w:t>
      </w:r>
      <w:r>
        <w:rPr>
          <w:rFonts w:hint="eastAsia" w:ascii="宋体" w:hAnsi="宋体"/>
          <w:color w:val="auto"/>
          <w:szCs w:val="21"/>
          <w:highlight w:val="none"/>
        </w:rPr>
        <w:t>人民币</w:t>
      </w:r>
      <w:r>
        <w:rPr>
          <w:rFonts w:hint="eastAsia" w:ascii="宋体" w:hAnsi="宋体"/>
          <w:color w:val="auto"/>
          <w:szCs w:val="21"/>
          <w:highlight w:val="none"/>
          <w:lang w:eastAsia="zh-CN"/>
        </w:rPr>
        <w:t>叁拾伍万元整</w:t>
      </w:r>
      <w:r>
        <w:rPr>
          <w:rFonts w:hint="eastAsia" w:ascii="宋体" w:hAnsi="宋体"/>
          <w:color w:val="auto"/>
          <w:szCs w:val="21"/>
          <w:highlight w:val="none"/>
        </w:rPr>
        <w:t>/年（¥</w:t>
      </w:r>
      <w:r>
        <w:rPr>
          <w:rFonts w:hint="eastAsia" w:ascii="宋体" w:hAnsi="宋体"/>
          <w:color w:val="auto"/>
          <w:szCs w:val="21"/>
          <w:highlight w:val="none"/>
          <w:lang w:val="en-US" w:eastAsia="zh-CN"/>
        </w:rPr>
        <w:t>35</w:t>
      </w:r>
      <w:r>
        <w:rPr>
          <w:rFonts w:hint="eastAsia" w:ascii="宋体" w:hAnsi="宋体"/>
          <w:color w:val="auto"/>
          <w:szCs w:val="21"/>
          <w:highlight w:val="none"/>
        </w:rPr>
        <w:t>0000.00/年），</w:t>
      </w:r>
      <w:r>
        <w:rPr>
          <w:rFonts w:ascii="宋体" w:hAnsi="宋体"/>
          <w:color w:val="auto"/>
          <w:szCs w:val="21"/>
          <w:highlight w:val="none"/>
          <w:lang w:val="en"/>
        </w:rPr>
        <w:t>2</w:t>
      </w:r>
      <w:r>
        <w:rPr>
          <w:rFonts w:hint="eastAsia" w:ascii="宋体" w:hAnsi="宋体"/>
          <w:color w:val="auto"/>
          <w:szCs w:val="21"/>
          <w:highlight w:val="none"/>
          <w:lang w:val="en"/>
        </w:rPr>
        <w:t>年预算</w:t>
      </w:r>
      <w:r>
        <w:rPr>
          <w:rFonts w:hint="eastAsia" w:ascii="宋体" w:hAnsi="宋体"/>
          <w:color w:val="auto"/>
          <w:szCs w:val="21"/>
          <w:highlight w:val="none"/>
        </w:rPr>
        <w:t>人民币</w:t>
      </w:r>
      <w:r>
        <w:rPr>
          <w:rFonts w:hint="eastAsia" w:ascii="宋体" w:hAnsi="宋体"/>
          <w:color w:val="auto"/>
          <w:szCs w:val="21"/>
          <w:highlight w:val="none"/>
          <w:lang w:eastAsia="zh-CN"/>
        </w:rPr>
        <w:t>柒拾万元整</w:t>
      </w:r>
      <w:r>
        <w:rPr>
          <w:rFonts w:hint="eastAsia" w:ascii="宋体" w:hAnsi="宋体"/>
          <w:color w:val="auto"/>
          <w:szCs w:val="21"/>
          <w:highlight w:val="none"/>
        </w:rPr>
        <w:t>（¥</w:t>
      </w:r>
      <w:r>
        <w:rPr>
          <w:rFonts w:hint="eastAsia" w:ascii="宋体" w:hAnsi="宋体"/>
          <w:color w:val="auto"/>
          <w:szCs w:val="21"/>
          <w:highlight w:val="none"/>
          <w:lang w:val="en-US" w:eastAsia="zh-CN"/>
        </w:rPr>
        <w:t>70</w:t>
      </w:r>
      <w:r>
        <w:rPr>
          <w:rFonts w:hint="eastAsia" w:ascii="宋体" w:hAnsi="宋体"/>
          <w:color w:val="auto"/>
          <w:szCs w:val="21"/>
          <w:highlight w:val="none"/>
        </w:rPr>
        <w:t>0000.00）</w:t>
      </w:r>
      <w:r>
        <w:rPr>
          <w:rFonts w:hint="eastAsia" w:ascii="宋体" w:hAnsi="宋体"/>
          <w:color w:val="auto"/>
          <w:szCs w:val="21"/>
          <w:highlight w:val="none"/>
          <w:lang w:val="en-US" w:eastAsia="zh-CN"/>
        </w:rPr>
        <w:t>。</w:t>
      </w:r>
      <w:r>
        <w:rPr>
          <w:rFonts w:hint="eastAsia" w:ascii="宋体" w:hAnsi="宋体" w:cs="宋体"/>
          <w:b/>
          <w:bCs/>
          <w:color w:val="auto"/>
          <w:sz w:val="21"/>
          <w:szCs w:val="21"/>
          <w:highlight w:val="none"/>
          <w:lang w:val="en-US" w:eastAsia="zh-CN"/>
        </w:rPr>
        <w:t>项目报价方式：人工费综合单价报价方式，人工费综合</w:t>
      </w:r>
      <w:r>
        <w:rPr>
          <w:rFonts w:hint="eastAsia" w:ascii="宋体" w:hAnsi="宋体"/>
          <w:b/>
          <w:bCs/>
          <w:color w:val="auto"/>
          <w:szCs w:val="21"/>
          <w:highlight w:val="none"/>
        </w:rPr>
        <w:t>单价</w:t>
      </w:r>
      <w:r>
        <w:rPr>
          <w:rFonts w:hint="eastAsia" w:ascii="宋体" w:hAnsi="宋体"/>
          <w:b/>
          <w:bCs/>
          <w:color w:val="auto"/>
          <w:szCs w:val="21"/>
          <w:highlight w:val="none"/>
          <w:lang w:val="en-US" w:eastAsia="zh-CN"/>
        </w:rPr>
        <w:t>报价的</w:t>
      </w:r>
      <w:r>
        <w:rPr>
          <w:rFonts w:hint="eastAsia" w:ascii="宋体" w:hAnsi="宋体"/>
          <w:b/>
          <w:bCs/>
          <w:color w:val="auto"/>
          <w:szCs w:val="21"/>
          <w:highlight w:val="none"/>
          <w:lang w:eastAsia="zh-CN"/>
        </w:rPr>
        <w:t>最高限价</w:t>
      </w:r>
      <w:r>
        <w:rPr>
          <w:rFonts w:hint="eastAsia" w:ascii="宋体" w:hAnsi="宋体"/>
          <w:b/>
          <w:bCs/>
          <w:color w:val="auto"/>
          <w:szCs w:val="21"/>
          <w:highlight w:val="none"/>
          <w:lang w:val="en-US" w:eastAsia="zh-CN"/>
        </w:rPr>
        <w:t>详见采购需求</w:t>
      </w:r>
      <w:r>
        <w:rPr>
          <w:rFonts w:hint="eastAsia" w:ascii="宋体" w:hAnsi="宋体"/>
          <w:b/>
          <w:bCs/>
          <w:color w:val="auto"/>
          <w:szCs w:val="21"/>
          <w:highlight w:val="none"/>
          <w:lang w:eastAsia="zh-CN"/>
        </w:rPr>
        <w:t>。</w:t>
      </w:r>
      <w:r>
        <w:rPr>
          <w:rFonts w:hint="eastAsia" w:ascii="宋体" w:hAnsi="宋体"/>
          <w:b/>
          <w:bCs/>
          <w:color w:val="auto"/>
          <w:szCs w:val="21"/>
          <w:highlight w:val="none"/>
          <w:lang w:val="en-US" w:eastAsia="zh-CN"/>
        </w:rPr>
        <w:t>供应商报价超过最高限价的视为竞标无效处理</w:t>
      </w:r>
    </w:p>
    <w:p w14:paraId="7D6616EB">
      <w:pPr>
        <w:spacing w:line="440" w:lineRule="exact"/>
        <w:ind w:firstLine="420" w:firstLineChars="200"/>
        <w:rPr>
          <w:rFonts w:hint="eastAsia" w:ascii="宋体" w:hAnsi="宋体"/>
          <w:color w:val="auto"/>
          <w:szCs w:val="21"/>
          <w:highlight w:val="none"/>
          <w:lang w:eastAsia="zh-CN"/>
        </w:rPr>
      </w:pPr>
      <w:r>
        <w:rPr>
          <w:rFonts w:hint="eastAsia" w:ascii="宋体" w:hAnsi="宋体"/>
          <w:color w:val="auto"/>
          <w:szCs w:val="21"/>
          <w:highlight w:val="none"/>
        </w:rPr>
        <w:t>6</w:t>
      </w:r>
      <w:r>
        <w:rPr>
          <w:rFonts w:ascii="宋体" w:hAnsi="宋体"/>
          <w:color w:val="auto"/>
          <w:szCs w:val="21"/>
          <w:highlight w:val="none"/>
        </w:rPr>
        <w:t>.</w:t>
      </w:r>
      <w:r>
        <w:rPr>
          <w:rFonts w:hint="eastAsia" w:ascii="宋体" w:hAnsi="宋体"/>
          <w:color w:val="auto"/>
          <w:szCs w:val="21"/>
          <w:highlight w:val="none"/>
        </w:rPr>
        <w:t>采购需求：</w:t>
      </w:r>
    </w:p>
    <w:tbl>
      <w:tblPr>
        <w:tblStyle w:val="31"/>
        <w:tblpPr w:leftFromText="180" w:rightFromText="180" w:vertAnchor="text" w:horzAnchor="page" w:tblpX="1131" w:tblpY="435"/>
        <w:tblOverlap w:val="never"/>
        <w:tblW w:w="9818"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60"/>
        <w:gridCol w:w="2065"/>
        <w:gridCol w:w="1311"/>
        <w:gridCol w:w="5482"/>
      </w:tblGrid>
      <w:tr w14:paraId="0AD924E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98" w:hRule="atLeast"/>
        </w:trPr>
        <w:tc>
          <w:tcPr>
            <w:tcW w:w="960" w:type="dxa"/>
            <w:tcBorders>
              <w:top w:val="single" w:color="auto" w:sz="4" w:space="0"/>
              <w:left w:val="single" w:color="auto" w:sz="4" w:space="0"/>
              <w:bottom w:val="single" w:color="auto" w:sz="4" w:space="0"/>
              <w:right w:val="single" w:color="auto" w:sz="4" w:space="0"/>
            </w:tcBorders>
            <w:shd w:val="clear" w:color="auto" w:fill="D7D7D7" w:themeFill="background1" w:themeFillShade="D8"/>
            <w:vAlign w:val="center"/>
          </w:tcPr>
          <w:p w14:paraId="5F6858D1">
            <w:pPr>
              <w:snapToGrid/>
              <w:spacing w:line="440" w:lineRule="exact"/>
              <w:ind w:firstLine="0" w:firstLineChars="0"/>
              <w:jc w:val="left"/>
              <w:rPr>
                <w:rFonts w:ascii="宋体" w:hAnsi="宋体"/>
                <w:color w:val="auto"/>
                <w:szCs w:val="21"/>
                <w:highlight w:val="none"/>
              </w:rPr>
            </w:pPr>
            <w:r>
              <w:rPr>
                <w:rFonts w:hint="eastAsia" w:ascii="宋体" w:hAnsi="宋体"/>
                <w:color w:val="auto"/>
                <w:szCs w:val="21"/>
                <w:highlight w:val="none"/>
              </w:rPr>
              <w:t>序号</w:t>
            </w:r>
          </w:p>
        </w:tc>
        <w:tc>
          <w:tcPr>
            <w:tcW w:w="2065" w:type="dxa"/>
            <w:tcBorders>
              <w:top w:val="single" w:color="auto" w:sz="4" w:space="0"/>
              <w:left w:val="single" w:color="auto" w:sz="4" w:space="0"/>
              <w:bottom w:val="single" w:color="auto" w:sz="4" w:space="0"/>
              <w:right w:val="single" w:color="auto" w:sz="4" w:space="0"/>
            </w:tcBorders>
            <w:shd w:val="clear" w:color="auto" w:fill="D7D7D7" w:themeFill="background1" w:themeFillShade="D8"/>
            <w:vAlign w:val="center"/>
          </w:tcPr>
          <w:p w14:paraId="63A1C7DF">
            <w:pPr>
              <w:snapToGrid/>
              <w:spacing w:line="440" w:lineRule="exact"/>
              <w:ind w:firstLine="420" w:firstLineChars="200"/>
              <w:jc w:val="left"/>
              <w:rPr>
                <w:rFonts w:ascii="宋体" w:hAnsi="宋体"/>
                <w:color w:val="auto"/>
                <w:szCs w:val="21"/>
                <w:highlight w:val="none"/>
              </w:rPr>
            </w:pPr>
            <w:r>
              <w:rPr>
                <w:rFonts w:hint="eastAsia" w:ascii="宋体" w:hAnsi="宋体"/>
                <w:color w:val="auto"/>
                <w:szCs w:val="21"/>
                <w:highlight w:val="none"/>
              </w:rPr>
              <w:t>标的的名称</w:t>
            </w:r>
          </w:p>
        </w:tc>
        <w:tc>
          <w:tcPr>
            <w:tcW w:w="1311" w:type="dxa"/>
            <w:tcBorders>
              <w:top w:val="single" w:color="auto" w:sz="4" w:space="0"/>
              <w:left w:val="single" w:color="auto" w:sz="4" w:space="0"/>
              <w:bottom w:val="single" w:color="auto" w:sz="4" w:space="0"/>
              <w:right w:val="single" w:color="auto" w:sz="4" w:space="0"/>
            </w:tcBorders>
            <w:shd w:val="clear" w:color="auto" w:fill="D7D7D7" w:themeFill="background1" w:themeFillShade="D8"/>
            <w:vAlign w:val="center"/>
          </w:tcPr>
          <w:p w14:paraId="0DC0EA8A">
            <w:pPr>
              <w:snapToGrid/>
              <w:spacing w:line="440" w:lineRule="exact"/>
              <w:ind w:firstLine="0" w:firstLineChars="0"/>
              <w:jc w:val="left"/>
              <w:rPr>
                <w:rFonts w:ascii="宋体" w:hAnsi="宋体"/>
                <w:color w:val="auto"/>
                <w:szCs w:val="21"/>
                <w:highlight w:val="none"/>
              </w:rPr>
            </w:pPr>
            <w:r>
              <w:rPr>
                <w:rFonts w:hint="eastAsia" w:ascii="宋体" w:hAnsi="宋体"/>
                <w:color w:val="auto"/>
                <w:szCs w:val="21"/>
                <w:highlight w:val="none"/>
              </w:rPr>
              <w:t>数量及单位</w:t>
            </w:r>
          </w:p>
        </w:tc>
        <w:tc>
          <w:tcPr>
            <w:tcW w:w="5482" w:type="dxa"/>
            <w:tcBorders>
              <w:top w:val="single" w:color="auto" w:sz="4" w:space="0"/>
              <w:left w:val="single" w:color="auto" w:sz="4" w:space="0"/>
              <w:bottom w:val="single" w:color="auto" w:sz="4" w:space="0"/>
              <w:right w:val="single" w:color="auto" w:sz="4" w:space="0"/>
            </w:tcBorders>
            <w:shd w:val="clear" w:color="auto" w:fill="D7D7D7" w:themeFill="background1" w:themeFillShade="D8"/>
            <w:vAlign w:val="center"/>
          </w:tcPr>
          <w:p w14:paraId="78CC3B78">
            <w:pPr>
              <w:snapToGrid/>
              <w:spacing w:line="440" w:lineRule="exact"/>
              <w:ind w:firstLine="420" w:firstLineChars="200"/>
              <w:jc w:val="left"/>
              <w:rPr>
                <w:rFonts w:ascii="宋体" w:hAnsi="宋体"/>
                <w:color w:val="auto"/>
                <w:szCs w:val="21"/>
                <w:highlight w:val="none"/>
              </w:rPr>
            </w:pPr>
            <w:r>
              <w:rPr>
                <w:rFonts w:hint="eastAsia" w:ascii="宋体" w:hAnsi="宋体"/>
                <w:color w:val="auto"/>
                <w:szCs w:val="21"/>
                <w:highlight w:val="none"/>
              </w:rPr>
              <w:t>简要技术需求或者服务要求</w:t>
            </w:r>
          </w:p>
        </w:tc>
      </w:tr>
      <w:tr w14:paraId="500BDBB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87" w:hRule="atLeast"/>
        </w:trPr>
        <w:tc>
          <w:tcPr>
            <w:tcW w:w="960" w:type="dxa"/>
            <w:tcBorders>
              <w:top w:val="single" w:color="auto" w:sz="4" w:space="0"/>
              <w:left w:val="single" w:color="auto" w:sz="4" w:space="0"/>
              <w:bottom w:val="single" w:color="auto" w:sz="4" w:space="0"/>
              <w:right w:val="single" w:color="auto" w:sz="4" w:space="0"/>
            </w:tcBorders>
            <w:vAlign w:val="center"/>
          </w:tcPr>
          <w:p w14:paraId="6CB6C8BA">
            <w:pPr>
              <w:snapToGrid w:val="0"/>
              <w:spacing w:line="360" w:lineRule="auto"/>
              <w:jc w:val="center"/>
              <w:rPr>
                <w:rFonts w:ascii="宋体" w:hAnsi="宋体"/>
                <w:color w:val="auto"/>
                <w:szCs w:val="21"/>
                <w:highlight w:val="none"/>
              </w:rPr>
            </w:pPr>
            <w:r>
              <w:rPr>
                <w:rFonts w:hint="eastAsia" w:ascii="宋体" w:hAnsi="宋体"/>
                <w:color w:val="auto"/>
                <w:szCs w:val="21"/>
                <w:highlight w:val="none"/>
              </w:rPr>
              <w:t>01</w:t>
            </w:r>
          </w:p>
        </w:tc>
        <w:tc>
          <w:tcPr>
            <w:tcW w:w="2065" w:type="dxa"/>
            <w:tcBorders>
              <w:top w:val="single" w:color="auto" w:sz="4" w:space="0"/>
              <w:left w:val="single" w:color="auto" w:sz="4" w:space="0"/>
              <w:bottom w:val="single" w:color="auto" w:sz="4" w:space="0"/>
              <w:right w:val="single" w:color="auto" w:sz="4" w:space="0"/>
            </w:tcBorders>
            <w:vAlign w:val="center"/>
          </w:tcPr>
          <w:p w14:paraId="0E6301EC">
            <w:pPr>
              <w:snapToGrid w:val="0"/>
              <w:spacing w:line="360" w:lineRule="auto"/>
              <w:jc w:val="center"/>
              <w:rPr>
                <w:rFonts w:ascii="宋体" w:hAnsi="宋体"/>
                <w:color w:val="auto"/>
                <w:szCs w:val="21"/>
                <w:highlight w:val="none"/>
              </w:rPr>
            </w:pPr>
            <w:r>
              <w:rPr>
                <w:rFonts w:hint="eastAsia" w:ascii="宋体" w:hAnsi="宋体"/>
                <w:color w:val="auto"/>
                <w:szCs w:val="21"/>
                <w:highlight w:val="none"/>
                <w:lang w:eastAsia="zh-CN"/>
              </w:rPr>
              <w:t>中华人民共和国广西出入境边防检查总站2025年常规性项目委托审计服务采购</w:t>
            </w:r>
          </w:p>
        </w:tc>
        <w:tc>
          <w:tcPr>
            <w:tcW w:w="1311" w:type="dxa"/>
            <w:tcBorders>
              <w:top w:val="single" w:color="auto" w:sz="4" w:space="0"/>
              <w:left w:val="single" w:color="auto" w:sz="4" w:space="0"/>
              <w:bottom w:val="single" w:color="auto" w:sz="4" w:space="0"/>
              <w:right w:val="single" w:color="auto" w:sz="4" w:space="0"/>
            </w:tcBorders>
            <w:vAlign w:val="center"/>
          </w:tcPr>
          <w:p w14:paraId="31D9BC96">
            <w:pPr>
              <w:snapToGrid w:val="0"/>
              <w:spacing w:line="360" w:lineRule="auto"/>
              <w:jc w:val="center"/>
              <w:rPr>
                <w:rFonts w:ascii="宋体" w:hAnsi="宋体"/>
                <w:color w:val="auto"/>
                <w:sz w:val="21"/>
                <w:szCs w:val="21"/>
                <w:highlight w:val="none"/>
              </w:rPr>
            </w:pPr>
            <w:r>
              <w:rPr>
                <w:rFonts w:hint="eastAsia" w:ascii="宋体" w:hAnsi="宋体"/>
                <w:color w:val="auto"/>
                <w:sz w:val="21"/>
                <w:szCs w:val="21"/>
                <w:highlight w:val="none"/>
              </w:rPr>
              <w:t>1项</w:t>
            </w:r>
          </w:p>
        </w:tc>
        <w:tc>
          <w:tcPr>
            <w:tcW w:w="5482" w:type="dxa"/>
            <w:tcBorders>
              <w:top w:val="single" w:color="auto" w:sz="4" w:space="0"/>
              <w:left w:val="single" w:color="auto" w:sz="4" w:space="0"/>
              <w:bottom w:val="single" w:color="auto" w:sz="4" w:space="0"/>
              <w:right w:val="single" w:color="auto" w:sz="4" w:space="0"/>
            </w:tcBorders>
            <w:vAlign w:val="center"/>
          </w:tcPr>
          <w:p w14:paraId="3218AF7C">
            <w:pPr>
              <w:pStyle w:val="26"/>
              <w:spacing w:line="360" w:lineRule="auto"/>
              <w:ind w:firstLine="422" w:firstLineChars="200"/>
              <w:rPr>
                <w:rFonts w:hint="default"/>
                <w:b/>
                <w:bCs/>
                <w:color w:val="auto"/>
                <w:sz w:val="21"/>
                <w:szCs w:val="21"/>
                <w:highlight w:val="none"/>
              </w:rPr>
            </w:pPr>
            <w:r>
              <w:rPr>
                <w:rFonts w:hint="default"/>
                <w:b/>
                <w:bCs/>
                <w:color w:val="auto"/>
                <w:sz w:val="21"/>
                <w:szCs w:val="21"/>
                <w:highlight w:val="none"/>
                <w:lang w:eastAsia="zh-CN"/>
              </w:rPr>
              <w:t>一、采购事项：领导干部经济责任审计</w:t>
            </w:r>
            <w:r>
              <w:rPr>
                <w:rFonts w:hint="default"/>
                <w:b/>
                <w:bCs/>
                <w:color w:val="auto"/>
                <w:sz w:val="21"/>
                <w:szCs w:val="21"/>
                <w:highlight w:val="none"/>
              </w:rPr>
              <w:t>等常规项目审计</w:t>
            </w:r>
            <w:r>
              <w:rPr>
                <w:rFonts w:hint="default"/>
                <w:b/>
                <w:bCs/>
                <w:color w:val="auto"/>
                <w:sz w:val="21"/>
                <w:szCs w:val="21"/>
                <w:highlight w:val="none"/>
                <w:lang w:eastAsia="zh-CN"/>
              </w:rPr>
              <w:t>服务采购</w:t>
            </w:r>
          </w:p>
          <w:p w14:paraId="32496F00">
            <w:pPr>
              <w:pStyle w:val="26"/>
              <w:spacing w:line="360" w:lineRule="auto"/>
              <w:ind w:firstLine="420" w:firstLineChars="200"/>
              <w:rPr>
                <w:rFonts w:hint="default"/>
                <w:color w:val="auto"/>
                <w:sz w:val="21"/>
                <w:szCs w:val="21"/>
                <w:highlight w:val="none"/>
                <w:lang w:eastAsia="zh-CN"/>
              </w:rPr>
            </w:pPr>
            <w:r>
              <w:rPr>
                <w:rFonts w:hint="default"/>
                <w:color w:val="auto"/>
                <w:sz w:val="21"/>
                <w:szCs w:val="21"/>
                <w:highlight w:val="none"/>
                <w:lang w:eastAsia="zh-CN"/>
              </w:rPr>
              <w:t>（一）委托事项（服务内容）：根据广西出入境边防检查总站的项目安排，供应商为2025年和2026年协助广西出入境边防检查总站审计工作组对所属19个站级单位开展的领导干部经济责任等常规项目审计活动提供专业会计审查服务和审计咨询服务。</w:t>
            </w:r>
          </w:p>
          <w:p w14:paraId="64C79FE5">
            <w:pPr>
              <w:pStyle w:val="26"/>
              <w:spacing w:line="360" w:lineRule="auto"/>
              <w:ind w:firstLine="420" w:firstLineChars="200"/>
              <w:rPr>
                <w:rFonts w:hint="default"/>
                <w:color w:val="auto"/>
                <w:sz w:val="21"/>
                <w:szCs w:val="21"/>
                <w:highlight w:val="none"/>
                <w:lang w:eastAsia="zh-CN"/>
              </w:rPr>
            </w:pPr>
            <w:r>
              <w:rPr>
                <w:rFonts w:hint="default"/>
                <w:color w:val="auto"/>
                <w:sz w:val="21"/>
                <w:szCs w:val="21"/>
                <w:highlight w:val="none"/>
                <w:lang w:eastAsia="zh-CN"/>
              </w:rPr>
              <w:t>（二）阶段安排：分两年完成19个出入境边防检查站、边境管理支队等站级单位审计的协审服务；暂定安排：2025年度开展9个站级单位，2026年度开展10个站级单位。</w:t>
            </w:r>
          </w:p>
          <w:p w14:paraId="0B93D5A4">
            <w:pPr>
              <w:pStyle w:val="26"/>
              <w:spacing w:line="360" w:lineRule="auto"/>
              <w:ind w:firstLine="420" w:firstLineChars="200"/>
              <w:rPr>
                <w:rFonts w:hint="default"/>
                <w:color w:val="auto"/>
                <w:sz w:val="21"/>
                <w:szCs w:val="21"/>
                <w:highlight w:val="none"/>
                <w:lang w:eastAsia="zh-CN"/>
              </w:rPr>
            </w:pPr>
            <w:r>
              <w:rPr>
                <w:rFonts w:hint="eastAsia"/>
                <w:color w:val="auto"/>
                <w:sz w:val="21"/>
                <w:szCs w:val="21"/>
                <w:highlight w:val="none"/>
                <w:lang w:val="en-US" w:eastAsia="zh-CN"/>
              </w:rPr>
              <w:t>......</w:t>
            </w:r>
            <w:r>
              <w:rPr>
                <w:rFonts w:hint="eastAsia"/>
                <w:b/>
                <w:bCs/>
                <w:color w:val="auto"/>
                <w:sz w:val="21"/>
                <w:szCs w:val="21"/>
                <w:highlight w:val="none"/>
              </w:rPr>
              <w:t>具体内容详见采购文件</w:t>
            </w:r>
          </w:p>
        </w:tc>
      </w:tr>
    </w:tbl>
    <w:p w14:paraId="1319F10C">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ascii="宋体" w:hAnsi="宋体"/>
          <w:b/>
          <w:bCs/>
          <w:color w:val="auto"/>
          <w:szCs w:val="21"/>
          <w:highlight w:val="none"/>
        </w:rPr>
      </w:pPr>
      <w:r>
        <w:rPr>
          <w:rFonts w:hint="eastAsia" w:ascii="宋体" w:hAnsi="宋体"/>
          <w:color w:val="auto"/>
          <w:szCs w:val="21"/>
          <w:highlight w:val="none"/>
          <w:lang w:val="en-US" w:eastAsia="zh-CN"/>
        </w:rPr>
        <w:t>7.合同履行期限</w:t>
      </w:r>
      <w:r>
        <w:rPr>
          <w:rFonts w:hint="eastAsia" w:ascii="宋体" w:hAnsi="宋体"/>
          <w:color w:val="auto"/>
          <w:szCs w:val="21"/>
          <w:highlight w:val="none"/>
        </w:rPr>
        <w:t>：</w:t>
      </w:r>
      <w:r>
        <w:rPr>
          <w:rFonts w:hint="eastAsia" w:ascii="宋体" w:hAnsi="宋体"/>
          <w:color w:val="auto"/>
          <w:szCs w:val="21"/>
          <w:highlight w:val="none"/>
          <w:lang w:eastAsia="zh-CN"/>
        </w:rPr>
        <w:t>自合同签订之日起2年。</w:t>
      </w:r>
    </w:p>
    <w:p w14:paraId="5742D28B">
      <w:pPr>
        <w:spacing w:line="440" w:lineRule="exact"/>
        <w:ind w:firstLine="420" w:firstLineChars="200"/>
        <w:rPr>
          <w:rFonts w:ascii="宋体" w:hAnsi="宋体"/>
          <w:color w:val="auto"/>
          <w:szCs w:val="21"/>
          <w:highlight w:val="none"/>
        </w:rPr>
      </w:pPr>
      <w:r>
        <w:rPr>
          <w:rFonts w:hint="eastAsia" w:ascii="宋体" w:hAnsi="宋体"/>
          <w:color w:val="auto"/>
          <w:szCs w:val="21"/>
          <w:highlight w:val="none"/>
          <w:lang w:val="en-US" w:eastAsia="zh-CN"/>
        </w:rPr>
        <w:t>8</w:t>
      </w:r>
      <w:r>
        <w:rPr>
          <w:rFonts w:hint="eastAsia" w:ascii="宋体" w:hAnsi="宋体"/>
          <w:color w:val="auto"/>
          <w:szCs w:val="21"/>
          <w:highlight w:val="none"/>
        </w:rPr>
        <w:t>.本项目不接受联合体竞标。</w:t>
      </w:r>
    </w:p>
    <w:p w14:paraId="332632EA">
      <w:pPr>
        <w:pStyle w:val="5"/>
        <w:spacing w:before="0" w:after="0" w:line="440" w:lineRule="exact"/>
        <w:rPr>
          <w:rFonts w:ascii="黑体" w:hAnsi="黑体" w:eastAsia="黑体" w:cs="宋体"/>
          <w:b w:val="0"/>
          <w:bCs/>
          <w:color w:val="auto"/>
          <w:sz w:val="24"/>
          <w:szCs w:val="24"/>
          <w:highlight w:val="none"/>
        </w:rPr>
      </w:pPr>
      <w:bookmarkStart w:id="13" w:name="_Toc35393799"/>
      <w:bookmarkStart w:id="14" w:name="_Toc44229879"/>
      <w:bookmarkStart w:id="15" w:name="_Toc24124"/>
      <w:bookmarkStart w:id="16" w:name="_Toc28359013"/>
      <w:bookmarkStart w:id="17" w:name="_Toc28359090"/>
      <w:bookmarkStart w:id="18" w:name="_Toc35393630"/>
      <w:r>
        <w:rPr>
          <w:rFonts w:hint="eastAsia" w:ascii="黑体" w:hAnsi="黑体" w:eastAsia="黑体" w:cs="宋体"/>
          <w:b w:val="0"/>
          <w:bCs/>
          <w:color w:val="auto"/>
          <w:sz w:val="24"/>
          <w:szCs w:val="24"/>
          <w:highlight w:val="none"/>
        </w:rPr>
        <w:t>二、供应商的资格条件：</w:t>
      </w:r>
      <w:bookmarkEnd w:id="13"/>
      <w:bookmarkEnd w:id="14"/>
      <w:bookmarkEnd w:id="15"/>
      <w:bookmarkEnd w:id="16"/>
      <w:bookmarkEnd w:id="17"/>
      <w:bookmarkEnd w:id="18"/>
    </w:p>
    <w:p w14:paraId="3A5DD943">
      <w:pPr>
        <w:spacing w:line="440" w:lineRule="exact"/>
        <w:ind w:firstLine="420" w:firstLineChars="200"/>
        <w:rPr>
          <w:rFonts w:ascii="宋体" w:hAnsi="宋体"/>
          <w:color w:val="auto"/>
          <w:szCs w:val="21"/>
          <w:highlight w:val="none"/>
        </w:rPr>
      </w:pPr>
      <w:bookmarkStart w:id="19" w:name="_Toc28359014"/>
      <w:bookmarkStart w:id="20" w:name="_Toc44229880"/>
      <w:bookmarkStart w:id="21" w:name="_Toc35393631"/>
      <w:bookmarkStart w:id="22" w:name="_Toc35393800"/>
      <w:bookmarkStart w:id="23" w:name="_Toc28359091"/>
      <w:r>
        <w:rPr>
          <w:rFonts w:hint="eastAsia" w:ascii="宋体" w:hAnsi="宋体"/>
          <w:color w:val="auto"/>
          <w:szCs w:val="21"/>
          <w:highlight w:val="none"/>
        </w:rPr>
        <w:t>1.满足《中华人民共和国政府采购法》第二十二条规定；</w:t>
      </w:r>
    </w:p>
    <w:p w14:paraId="562B83E6">
      <w:pPr>
        <w:spacing w:line="440" w:lineRule="exact"/>
        <w:ind w:firstLine="420" w:firstLineChars="200"/>
        <w:rPr>
          <w:rFonts w:ascii="宋体" w:hAnsi="宋体"/>
          <w:color w:val="auto"/>
          <w:szCs w:val="21"/>
          <w:highlight w:val="none"/>
        </w:rPr>
      </w:pPr>
      <w:r>
        <w:rPr>
          <w:rFonts w:ascii="宋体" w:hAnsi="宋体"/>
          <w:color w:val="auto"/>
          <w:szCs w:val="21"/>
          <w:highlight w:val="none"/>
        </w:rPr>
        <w:t>2</w:t>
      </w:r>
      <w:r>
        <w:rPr>
          <w:rFonts w:hint="eastAsia" w:ascii="宋体" w:hAnsi="宋体"/>
          <w:color w:val="auto"/>
          <w:szCs w:val="21"/>
          <w:highlight w:val="none"/>
        </w:rPr>
        <w:t>.落实政府采购政策需满足的资格要求：</w:t>
      </w:r>
      <w:r>
        <w:rPr>
          <w:rFonts w:hint="eastAsia" w:ascii="宋体" w:hAnsi="宋体"/>
          <w:color w:val="auto"/>
          <w:szCs w:val="21"/>
          <w:highlight w:val="none"/>
        </w:rPr>
        <w:sym w:font="Wingdings 2" w:char="0052"/>
      </w:r>
      <w:r>
        <w:rPr>
          <w:rFonts w:hint="eastAsia" w:ascii="宋体" w:hAnsi="宋体"/>
          <w:color w:val="auto"/>
          <w:szCs w:val="21"/>
          <w:highlight w:val="none"/>
        </w:rPr>
        <w:t>非专门面向中小企业采购的项目</w:t>
      </w:r>
    </w:p>
    <w:p w14:paraId="37261190">
      <w:pPr>
        <w:snapToGrid w:val="0"/>
        <w:spacing w:line="440" w:lineRule="exact"/>
        <w:ind w:firstLine="420"/>
        <w:jc w:val="left"/>
        <w:rPr>
          <w:rFonts w:ascii="宋体" w:hAnsi="宋体"/>
          <w:color w:val="auto"/>
          <w:szCs w:val="21"/>
          <w:highlight w:val="none"/>
        </w:rPr>
      </w:pPr>
      <w:r>
        <w:rPr>
          <w:rFonts w:hint="eastAsia" w:ascii="宋体" w:hAnsi="宋体"/>
          <w:color w:val="auto"/>
          <w:szCs w:val="21"/>
          <w:highlight w:val="none"/>
        </w:rPr>
        <w:t>3.本项目的特定资格要求：</w:t>
      </w:r>
      <w:r>
        <w:rPr>
          <w:rFonts w:hint="eastAsia" w:ascii="宋体" w:hAnsi="宋体"/>
          <w:b/>
          <w:bCs/>
          <w:color w:val="auto"/>
          <w:szCs w:val="21"/>
          <w:highlight w:val="none"/>
        </w:rPr>
        <w:t>供应商应具备有效的省级（自治区、直辖市）财政部门颁发的《会计师事务所执业证书》或《会计师事务所(分所)执业证书》。</w:t>
      </w:r>
    </w:p>
    <w:p w14:paraId="53E9EB09">
      <w:pPr>
        <w:snapToGrid w:val="0"/>
        <w:spacing w:line="440" w:lineRule="exact"/>
        <w:ind w:firstLine="420"/>
        <w:jc w:val="left"/>
        <w:rPr>
          <w:rFonts w:ascii="宋体" w:hAnsi="宋体"/>
          <w:color w:val="auto"/>
          <w:szCs w:val="21"/>
          <w:highlight w:val="none"/>
        </w:rPr>
      </w:pPr>
      <w:r>
        <w:rPr>
          <w:rFonts w:hint="eastAsia" w:ascii="宋体" w:hAnsi="宋体"/>
          <w:color w:val="auto"/>
          <w:szCs w:val="21"/>
          <w:highlight w:val="none"/>
        </w:rPr>
        <w:t>4</w:t>
      </w:r>
      <w:r>
        <w:rPr>
          <w:rFonts w:ascii="宋体" w:hAnsi="宋体"/>
          <w:color w:val="auto"/>
          <w:szCs w:val="21"/>
          <w:highlight w:val="none"/>
        </w:rPr>
        <w:t>.</w:t>
      </w:r>
      <w:r>
        <w:rPr>
          <w:rFonts w:hint="eastAsia" w:ascii="宋体" w:hAnsi="宋体"/>
          <w:color w:val="auto"/>
          <w:szCs w:val="21"/>
          <w:highlight w:val="none"/>
        </w:rPr>
        <w:t>单位负责人为同一人或者存在直接控股、管理关系的不同供应商，不得参加同一合同项下的政府采购活动。为本项目提供过整体设计、规范编制或者项目管理、监理、检测等服务的供应商，不得再参加本项目上述服务以外的其他采购活动。</w:t>
      </w:r>
    </w:p>
    <w:p w14:paraId="69587B80">
      <w:pPr>
        <w:spacing w:line="440" w:lineRule="exact"/>
        <w:ind w:firstLine="420" w:firstLineChars="200"/>
        <w:rPr>
          <w:rFonts w:ascii="宋体" w:hAnsi="宋体"/>
          <w:color w:val="auto"/>
          <w:szCs w:val="21"/>
          <w:highlight w:val="none"/>
        </w:rPr>
      </w:pPr>
      <w:r>
        <w:rPr>
          <w:rFonts w:hint="eastAsia" w:ascii="宋体" w:hAnsi="宋体"/>
          <w:color w:val="auto"/>
          <w:szCs w:val="21"/>
          <w:highlight w:val="none"/>
        </w:rPr>
        <w:t>5</w:t>
      </w:r>
      <w:r>
        <w:rPr>
          <w:rFonts w:ascii="宋体" w:hAnsi="宋体"/>
          <w:color w:val="auto"/>
          <w:szCs w:val="21"/>
          <w:highlight w:val="none"/>
        </w:rPr>
        <w:t>.</w:t>
      </w:r>
      <w:r>
        <w:rPr>
          <w:rFonts w:hint="eastAsia" w:ascii="宋体" w:hAnsi="宋体"/>
          <w:color w:val="auto"/>
          <w:szCs w:val="21"/>
          <w:highlight w:val="none"/>
        </w:rPr>
        <w:t xml:space="preserve"> 对在“信用中国”网站（www.creditchina.gov.cn) 、中国政府采购网（www.ccgp.gov.cn）被列入失信被执行人、重大税收违法失信主体、政府采购严重违法失信行为记录名单及其他不符合《中华人民共和国政府采购法》第二十二条规定条件的供应商，不得参与政府采购活动。</w:t>
      </w:r>
    </w:p>
    <w:p w14:paraId="648C271F">
      <w:pPr>
        <w:pStyle w:val="5"/>
        <w:spacing w:before="0" w:after="0" w:line="440" w:lineRule="exact"/>
        <w:ind w:firstLine="480" w:firstLineChars="200"/>
        <w:rPr>
          <w:rFonts w:ascii="黑体" w:hAnsi="黑体" w:eastAsia="黑体" w:cs="宋体"/>
          <w:b w:val="0"/>
          <w:bCs/>
          <w:color w:val="auto"/>
          <w:sz w:val="24"/>
          <w:szCs w:val="24"/>
          <w:highlight w:val="none"/>
        </w:rPr>
      </w:pPr>
      <w:bookmarkStart w:id="24" w:name="_Toc27684"/>
      <w:r>
        <w:rPr>
          <w:rFonts w:hint="eastAsia" w:ascii="黑体" w:hAnsi="黑体" w:eastAsia="黑体" w:cs="宋体"/>
          <w:b w:val="0"/>
          <w:bCs/>
          <w:color w:val="auto"/>
          <w:sz w:val="24"/>
          <w:szCs w:val="24"/>
          <w:highlight w:val="none"/>
        </w:rPr>
        <w:t>三、获取竞争性磋商文件</w:t>
      </w:r>
      <w:bookmarkEnd w:id="19"/>
      <w:bookmarkEnd w:id="20"/>
      <w:bookmarkEnd w:id="21"/>
      <w:bookmarkEnd w:id="22"/>
      <w:bookmarkEnd w:id="23"/>
      <w:bookmarkEnd w:id="24"/>
    </w:p>
    <w:p w14:paraId="18ED1817">
      <w:pPr>
        <w:spacing w:line="440" w:lineRule="exact"/>
        <w:ind w:firstLine="420" w:firstLineChars="200"/>
        <w:rPr>
          <w:rFonts w:hint="eastAsia" w:ascii="宋体" w:hAnsi="宋体"/>
          <w:color w:val="auto"/>
          <w:szCs w:val="21"/>
          <w:highlight w:val="none"/>
        </w:rPr>
      </w:pPr>
      <w:bookmarkStart w:id="25" w:name="_Toc35393801"/>
      <w:bookmarkStart w:id="26" w:name="_Toc28359092"/>
      <w:bookmarkStart w:id="27" w:name="_Toc44229881"/>
      <w:bookmarkStart w:id="28" w:name="_Toc35393632"/>
      <w:bookmarkStart w:id="29" w:name="_Toc28359015"/>
      <w:r>
        <w:rPr>
          <w:rFonts w:hint="eastAsia" w:ascii="宋体" w:hAnsi="宋体"/>
          <w:color w:val="auto"/>
          <w:szCs w:val="21"/>
          <w:highlight w:val="none"/>
        </w:rPr>
        <w:t>时间：</w:t>
      </w:r>
      <w:r>
        <w:rPr>
          <w:rFonts w:hint="eastAsia" w:ascii="宋体" w:hAnsi="宋体"/>
          <w:color w:val="auto"/>
          <w:szCs w:val="21"/>
          <w:highlight w:val="none"/>
          <w:lang w:eastAsia="zh-CN"/>
        </w:rPr>
        <w:t>2025年</w:t>
      </w:r>
      <w:r>
        <w:rPr>
          <w:rFonts w:hint="eastAsia" w:ascii="宋体" w:hAnsi="宋体"/>
          <w:color w:val="auto"/>
          <w:szCs w:val="21"/>
          <w:highlight w:val="none"/>
          <w:lang w:val="en-US" w:eastAsia="zh-CN"/>
        </w:rPr>
        <w:t>6</w:t>
      </w:r>
      <w:r>
        <w:rPr>
          <w:rFonts w:hint="eastAsia" w:ascii="宋体" w:hAnsi="宋体"/>
          <w:color w:val="auto"/>
          <w:szCs w:val="21"/>
          <w:highlight w:val="none"/>
          <w:lang w:eastAsia="zh-CN"/>
        </w:rPr>
        <w:t>月</w:t>
      </w:r>
      <w:r>
        <w:rPr>
          <w:rFonts w:hint="eastAsia" w:ascii="宋体" w:hAnsi="宋体"/>
          <w:color w:val="auto"/>
          <w:szCs w:val="21"/>
          <w:highlight w:val="none"/>
          <w:lang w:val="en-US" w:eastAsia="zh-CN"/>
        </w:rPr>
        <w:t>12</w:t>
      </w:r>
      <w:r>
        <w:rPr>
          <w:rFonts w:hint="eastAsia" w:ascii="宋体" w:hAnsi="宋体"/>
          <w:color w:val="auto"/>
          <w:szCs w:val="21"/>
          <w:highlight w:val="none"/>
          <w:lang w:eastAsia="zh-CN"/>
        </w:rPr>
        <w:t>日</w:t>
      </w:r>
      <w:r>
        <w:rPr>
          <w:rFonts w:hint="eastAsia" w:ascii="宋体" w:hAnsi="宋体"/>
          <w:color w:val="auto"/>
          <w:szCs w:val="21"/>
          <w:highlight w:val="none"/>
        </w:rPr>
        <w:t>至</w:t>
      </w:r>
      <w:r>
        <w:rPr>
          <w:rFonts w:hint="eastAsia" w:ascii="宋体" w:hAnsi="宋体"/>
          <w:color w:val="auto"/>
          <w:szCs w:val="21"/>
          <w:highlight w:val="none"/>
          <w:lang w:eastAsia="zh-CN"/>
        </w:rPr>
        <w:t>2025年</w:t>
      </w:r>
      <w:r>
        <w:rPr>
          <w:rFonts w:hint="eastAsia" w:ascii="宋体" w:hAnsi="宋体"/>
          <w:color w:val="auto"/>
          <w:szCs w:val="21"/>
          <w:highlight w:val="none"/>
          <w:lang w:val="en-US" w:eastAsia="zh-CN"/>
        </w:rPr>
        <w:t>6</w:t>
      </w:r>
      <w:r>
        <w:rPr>
          <w:rFonts w:hint="eastAsia" w:ascii="宋体" w:hAnsi="宋体"/>
          <w:color w:val="auto"/>
          <w:szCs w:val="21"/>
          <w:highlight w:val="none"/>
          <w:lang w:eastAsia="zh-CN"/>
        </w:rPr>
        <w:t>月</w:t>
      </w:r>
      <w:r>
        <w:rPr>
          <w:rFonts w:hint="eastAsia" w:ascii="宋体" w:hAnsi="宋体"/>
          <w:color w:val="auto"/>
          <w:szCs w:val="21"/>
          <w:highlight w:val="none"/>
          <w:lang w:val="en-US" w:eastAsia="zh-CN"/>
        </w:rPr>
        <w:t>18</w:t>
      </w:r>
      <w:r>
        <w:rPr>
          <w:rFonts w:hint="eastAsia" w:ascii="宋体" w:hAnsi="宋体"/>
          <w:color w:val="auto"/>
          <w:szCs w:val="21"/>
          <w:highlight w:val="none"/>
          <w:lang w:eastAsia="zh-CN"/>
        </w:rPr>
        <w:t>日</w:t>
      </w:r>
      <w:r>
        <w:rPr>
          <w:rFonts w:hint="eastAsia" w:ascii="宋体" w:hAnsi="宋体"/>
          <w:color w:val="auto"/>
          <w:szCs w:val="21"/>
          <w:highlight w:val="none"/>
        </w:rPr>
        <w:t>，每天上午8时00分至12时00分，下午15时00分至18时00分（北京时间，法定节假日除外）</w:t>
      </w:r>
    </w:p>
    <w:p w14:paraId="0F61713B">
      <w:pPr>
        <w:spacing w:line="440" w:lineRule="exact"/>
        <w:ind w:firstLine="420" w:firstLineChars="200"/>
        <w:rPr>
          <w:rFonts w:hint="eastAsia" w:ascii="宋体" w:hAnsi="宋体"/>
          <w:color w:val="auto"/>
          <w:szCs w:val="21"/>
          <w:highlight w:val="none"/>
        </w:rPr>
      </w:pPr>
      <w:r>
        <w:rPr>
          <w:rFonts w:hint="eastAsia" w:ascii="宋体" w:hAnsi="宋体"/>
          <w:color w:val="auto"/>
          <w:szCs w:val="21"/>
          <w:highlight w:val="none"/>
        </w:rPr>
        <w:t>地点：</w:t>
      </w:r>
      <w:r>
        <w:rPr>
          <w:rFonts w:hint="eastAsia" w:ascii="宋体" w:hAnsi="宋体"/>
          <w:color w:val="auto"/>
          <w:szCs w:val="21"/>
          <w:highlight w:val="none"/>
          <w:lang w:eastAsia="zh-CN"/>
        </w:rPr>
        <w:t>广西城建咨询设计有限公司</w:t>
      </w:r>
      <w:r>
        <w:rPr>
          <w:rFonts w:hint="eastAsia" w:ascii="宋体" w:hAnsi="宋体"/>
          <w:color w:val="auto"/>
          <w:szCs w:val="21"/>
          <w:highlight w:val="none"/>
        </w:rPr>
        <w:t>（南宁市青秀区金湖路58号广西建设大厦三楼）获取；</w:t>
      </w:r>
    </w:p>
    <w:p w14:paraId="42F7DA8F">
      <w:pPr>
        <w:spacing w:line="440" w:lineRule="exact"/>
        <w:ind w:firstLine="422" w:firstLineChars="200"/>
        <w:rPr>
          <w:rFonts w:hint="eastAsia" w:ascii="宋体" w:hAnsi="宋体"/>
          <w:b/>
          <w:bCs/>
          <w:color w:val="auto"/>
          <w:szCs w:val="21"/>
          <w:highlight w:val="none"/>
        </w:rPr>
      </w:pPr>
      <w:r>
        <w:rPr>
          <w:rFonts w:hint="eastAsia" w:ascii="宋体" w:hAnsi="宋体"/>
          <w:b/>
          <w:bCs/>
          <w:color w:val="auto"/>
          <w:szCs w:val="21"/>
          <w:highlight w:val="none"/>
          <w:lang w:eastAsia="zh-CN"/>
        </w:rPr>
        <w:t>方式：</w:t>
      </w:r>
      <w:r>
        <w:rPr>
          <w:rFonts w:hint="eastAsia" w:ascii="宋体" w:hAnsi="宋体"/>
          <w:b/>
          <w:bCs/>
          <w:color w:val="auto"/>
          <w:szCs w:val="21"/>
          <w:highlight w:val="none"/>
        </w:rPr>
        <w:t>现场</w:t>
      </w:r>
      <w:r>
        <w:rPr>
          <w:rFonts w:hint="eastAsia" w:ascii="宋体" w:hAnsi="宋体"/>
          <w:b/>
          <w:bCs/>
          <w:color w:val="auto"/>
          <w:szCs w:val="21"/>
          <w:highlight w:val="none"/>
          <w:lang w:val="en-US" w:eastAsia="zh-CN"/>
        </w:rPr>
        <w:t>登记获取</w:t>
      </w:r>
      <w:r>
        <w:rPr>
          <w:rFonts w:hint="eastAsia" w:ascii="宋体" w:hAnsi="宋体"/>
          <w:b/>
          <w:bCs/>
          <w:color w:val="auto"/>
          <w:szCs w:val="21"/>
          <w:highlight w:val="none"/>
        </w:rPr>
        <w:t>或</w:t>
      </w:r>
      <w:r>
        <w:rPr>
          <w:rFonts w:hint="eastAsia" w:ascii="宋体" w:hAnsi="宋体"/>
          <w:b/>
          <w:bCs/>
          <w:color w:val="auto"/>
          <w:szCs w:val="21"/>
          <w:highlight w:val="none"/>
          <w:lang w:val="en-US" w:eastAsia="zh-CN"/>
        </w:rPr>
        <w:t>邮购</w:t>
      </w:r>
      <w:r>
        <w:rPr>
          <w:rFonts w:hint="eastAsia" w:ascii="宋体" w:hAnsi="宋体"/>
          <w:b/>
          <w:bCs/>
          <w:color w:val="auto"/>
          <w:szCs w:val="21"/>
          <w:highlight w:val="none"/>
          <w:lang w:eastAsia="zh-CN"/>
        </w:rPr>
        <w:t>方式</w:t>
      </w:r>
      <w:r>
        <w:rPr>
          <w:rFonts w:hint="eastAsia" w:ascii="宋体" w:hAnsi="宋体"/>
          <w:b/>
          <w:bCs/>
          <w:color w:val="auto"/>
          <w:szCs w:val="21"/>
          <w:highlight w:val="none"/>
        </w:rPr>
        <w:t>获取。</w:t>
      </w:r>
    </w:p>
    <w:p w14:paraId="319A125A">
      <w:pPr>
        <w:spacing w:line="440" w:lineRule="exact"/>
        <w:ind w:firstLine="422" w:firstLineChars="200"/>
        <w:rPr>
          <w:rFonts w:hint="eastAsia" w:ascii="宋体" w:hAnsi="宋体"/>
          <w:b/>
          <w:bCs/>
          <w:color w:val="auto"/>
          <w:szCs w:val="21"/>
          <w:highlight w:val="none"/>
          <w:lang w:val="en-US" w:eastAsia="zh-CN"/>
        </w:rPr>
      </w:pPr>
      <w:r>
        <w:rPr>
          <w:rFonts w:hint="eastAsia" w:ascii="宋体" w:hAnsi="宋体"/>
          <w:b/>
          <w:bCs/>
          <w:color w:val="auto"/>
          <w:szCs w:val="21"/>
          <w:highlight w:val="none"/>
          <w:lang w:val="en-US" w:eastAsia="zh-CN"/>
        </w:rPr>
        <w:t>供应商可采用邮购方式获取，潜在供应商在磋商文件发售时间内将汇款凭证发送至指定邮箱：867634559@qq.com（联系电话：0771-5801477），电子邮件内请注明项目名称、项目编号，以及供应商的收件人姓名、联系电话、收件地址、电子邮箱、开票信息等。未按本公告要求提供有效收件人、收件地址及联系方式的，不予办理纸质版采购文件的邮寄手续；因此造成供应商无法按时获取纸质版采购文件的，责任由供应商承担。</w:t>
      </w:r>
    </w:p>
    <w:p w14:paraId="07078B4D">
      <w:pPr>
        <w:spacing w:line="440" w:lineRule="exact"/>
        <w:ind w:firstLine="420" w:firstLineChars="200"/>
        <w:rPr>
          <w:rFonts w:hint="eastAsia" w:ascii="宋体" w:hAnsi="宋体"/>
          <w:b/>
          <w:bCs/>
          <w:color w:val="auto"/>
          <w:szCs w:val="21"/>
          <w:highlight w:val="none"/>
          <w:lang w:val="en-US" w:eastAsia="zh-CN"/>
        </w:rPr>
      </w:pPr>
      <w:r>
        <w:rPr>
          <w:rFonts w:hint="eastAsia" w:ascii="宋体" w:hAnsi="宋体"/>
          <w:b w:val="0"/>
          <w:bCs w:val="0"/>
          <w:color w:val="auto"/>
          <w:szCs w:val="21"/>
          <w:highlight w:val="none"/>
          <w:lang w:val="en-US" w:eastAsia="zh-CN"/>
        </w:rPr>
        <w:t>售价：采购文件每套售价人民币250元，如需邮寄另加邮费50元；竞争性磋商文件售后不退。</w:t>
      </w:r>
      <w:r>
        <w:rPr>
          <w:rFonts w:hint="eastAsia" w:ascii="宋体" w:hAnsi="宋体"/>
          <w:b/>
          <w:bCs/>
          <w:color w:val="auto"/>
          <w:szCs w:val="21"/>
          <w:highlight w:val="none"/>
          <w:lang w:val="en-US" w:eastAsia="zh-CN"/>
        </w:rPr>
        <w:t>（邮购文件的，供应商须于竞争性磋商文件发售截止时间前将工本费及邮费（如需邮寄）汇到广西城建咨询设计有限公司指定账户，汇款、转账时请备注项目名称或项目编号信息）</w:t>
      </w:r>
    </w:p>
    <w:p w14:paraId="418EE93D">
      <w:pPr>
        <w:spacing w:line="440" w:lineRule="exact"/>
        <w:ind w:firstLine="422" w:firstLineChars="200"/>
        <w:rPr>
          <w:rFonts w:hint="eastAsia" w:ascii="宋体" w:hAnsi="宋体"/>
          <w:b/>
          <w:bCs/>
          <w:color w:val="auto"/>
          <w:szCs w:val="21"/>
          <w:highlight w:val="none"/>
          <w:lang w:val="en-US" w:eastAsia="zh-CN"/>
        </w:rPr>
      </w:pPr>
      <w:r>
        <w:rPr>
          <w:rFonts w:hint="eastAsia" w:ascii="宋体" w:hAnsi="宋体"/>
          <w:b/>
          <w:bCs/>
          <w:color w:val="auto"/>
          <w:szCs w:val="21"/>
          <w:highlight w:val="none"/>
        </w:rPr>
        <w:t>竞争性磋商文件的价款交纳的专用账户</w:t>
      </w:r>
      <w:r>
        <w:rPr>
          <w:rFonts w:hint="eastAsia" w:ascii="宋体" w:hAnsi="宋体"/>
          <w:b/>
          <w:bCs/>
          <w:color w:val="auto"/>
          <w:szCs w:val="21"/>
          <w:highlight w:val="none"/>
          <w:lang w:val="en-US" w:eastAsia="zh-CN"/>
        </w:rPr>
        <w:t>：</w:t>
      </w:r>
    </w:p>
    <w:p w14:paraId="02640B51">
      <w:pPr>
        <w:spacing w:line="440" w:lineRule="exact"/>
        <w:ind w:firstLine="420" w:firstLineChars="20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户名：广西城建咨询设计有限公司</w:t>
      </w:r>
    </w:p>
    <w:p w14:paraId="5DA1B7B7">
      <w:pPr>
        <w:spacing w:line="440" w:lineRule="exact"/>
        <w:ind w:firstLine="420" w:firstLineChars="20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账号：7897 0188 0000 0202 2</w:t>
      </w:r>
    </w:p>
    <w:p w14:paraId="4410FD1E">
      <w:pPr>
        <w:spacing w:line="440" w:lineRule="exact"/>
        <w:ind w:firstLine="420" w:firstLineChars="200"/>
        <w:rPr>
          <w:rFonts w:hint="eastAsia" w:ascii="宋体" w:hAnsi="宋体"/>
          <w:color w:val="auto"/>
          <w:szCs w:val="21"/>
          <w:highlight w:val="none"/>
        </w:rPr>
      </w:pPr>
      <w:r>
        <w:rPr>
          <w:rFonts w:hint="eastAsia" w:ascii="宋体" w:hAnsi="宋体"/>
          <w:color w:val="auto"/>
          <w:szCs w:val="21"/>
          <w:highlight w:val="none"/>
          <w:lang w:val="en-US" w:eastAsia="zh-CN"/>
        </w:rPr>
        <w:t>开户行：光大银行南宁市金湖支行</w:t>
      </w:r>
    </w:p>
    <w:p w14:paraId="364BFAD5">
      <w:pPr>
        <w:pStyle w:val="5"/>
        <w:spacing w:before="0" w:after="0" w:line="440" w:lineRule="exact"/>
        <w:ind w:firstLine="480" w:firstLineChars="200"/>
        <w:rPr>
          <w:rFonts w:ascii="黑体" w:hAnsi="黑体" w:eastAsia="黑体" w:cs="宋体"/>
          <w:b w:val="0"/>
          <w:bCs/>
          <w:color w:val="auto"/>
          <w:sz w:val="24"/>
          <w:szCs w:val="24"/>
          <w:highlight w:val="none"/>
        </w:rPr>
      </w:pPr>
      <w:bookmarkStart w:id="30" w:name="_Toc4938"/>
      <w:r>
        <w:rPr>
          <w:rFonts w:hint="eastAsia" w:ascii="黑体" w:hAnsi="黑体" w:eastAsia="黑体" w:cs="宋体"/>
          <w:b w:val="0"/>
          <w:bCs/>
          <w:color w:val="auto"/>
          <w:sz w:val="24"/>
          <w:szCs w:val="24"/>
          <w:highlight w:val="none"/>
        </w:rPr>
        <w:t>四、响应文件提交</w:t>
      </w:r>
      <w:bookmarkEnd w:id="25"/>
      <w:bookmarkEnd w:id="26"/>
      <w:bookmarkEnd w:id="27"/>
      <w:bookmarkEnd w:id="28"/>
      <w:bookmarkEnd w:id="29"/>
      <w:bookmarkEnd w:id="30"/>
    </w:p>
    <w:p w14:paraId="7AB37088">
      <w:pPr>
        <w:spacing w:line="440" w:lineRule="exact"/>
        <w:ind w:firstLine="420" w:firstLineChars="200"/>
        <w:rPr>
          <w:rFonts w:ascii="宋体" w:hAnsi="宋体"/>
          <w:bCs/>
          <w:color w:val="auto"/>
          <w:szCs w:val="21"/>
          <w:highlight w:val="none"/>
          <w:u w:val="single"/>
        </w:rPr>
      </w:pPr>
      <w:r>
        <w:rPr>
          <w:rFonts w:ascii="宋体" w:hAnsi="宋体"/>
          <w:bCs/>
          <w:color w:val="auto"/>
          <w:szCs w:val="21"/>
          <w:highlight w:val="none"/>
        </w:rPr>
        <w:t>1.</w:t>
      </w:r>
      <w:r>
        <w:rPr>
          <w:rFonts w:hint="eastAsia" w:ascii="宋体" w:hAnsi="宋体"/>
          <w:color w:val="auto"/>
          <w:szCs w:val="21"/>
          <w:highlight w:val="none"/>
        </w:rPr>
        <w:t>首次响应文件提交截止时间：</w:t>
      </w:r>
      <w:r>
        <w:rPr>
          <w:rFonts w:hint="eastAsia" w:ascii="宋体" w:hAnsi="宋体"/>
          <w:color w:val="auto"/>
          <w:szCs w:val="21"/>
          <w:highlight w:val="none"/>
          <w:u w:val="single"/>
          <w:lang w:eastAsia="zh-CN"/>
        </w:rPr>
        <w:t>2025年6月24日9时00分</w:t>
      </w:r>
      <w:r>
        <w:rPr>
          <w:rFonts w:hint="eastAsia" w:ascii="宋体" w:hAnsi="宋体"/>
          <w:color w:val="auto"/>
          <w:szCs w:val="21"/>
          <w:highlight w:val="none"/>
          <w:u w:val="single"/>
        </w:rPr>
        <w:t>（北京时间）</w:t>
      </w:r>
    </w:p>
    <w:p w14:paraId="7B52F710">
      <w:pPr>
        <w:spacing w:line="440" w:lineRule="exact"/>
        <w:ind w:firstLine="420" w:firstLineChars="200"/>
        <w:rPr>
          <w:rFonts w:ascii="宋体" w:hAnsi="宋体"/>
          <w:color w:val="auto"/>
          <w:szCs w:val="21"/>
          <w:highlight w:val="none"/>
        </w:rPr>
      </w:pPr>
      <w:r>
        <w:rPr>
          <w:rFonts w:ascii="宋体" w:hAnsi="宋体"/>
          <w:color w:val="auto"/>
          <w:szCs w:val="21"/>
          <w:highlight w:val="none"/>
        </w:rPr>
        <w:t>2.</w:t>
      </w:r>
      <w:r>
        <w:rPr>
          <w:rFonts w:hint="eastAsia" w:ascii="宋体" w:hAnsi="宋体"/>
          <w:color w:val="auto"/>
          <w:szCs w:val="21"/>
          <w:highlight w:val="none"/>
        </w:rPr>
        <w:t>首次响应文件提交地点：</w:t>
      </w:r>
      <w:r>
        <w:rPr>
          <w:rFonts w:hint="eastAsia" w:ascii="宋体" w:hAnsi="宋体" w:cs="宋体"/>
          <w:color w:val="auto"/>
          <w:szCs w:val="21"/>
          <w:highlight w:val="none"/>
          <w:u w:val="single"/>
          <w:lang w:eastAsia="zh-CN"/>
        </w:rPr>
        <w:t>广西城建咨询设计有限公司（南宁市青秀区金湖路58号广西建设大厦三楼）</w:t>
      </w:r>
      <w:r>
        <w:rPr>
          <w:rFonts w:hint="eastAsia" w:ascii="宋体" w:hAnsi="宋体" w:cs="宋体"/>
          <w:color w:val="auto"/>
          <w:szCs w:val="21"/>
          <w:highlight w:val="none"/>
        </w:rPr>
        <w:t>，逾期送达或未密封将予以拒收。</w:t>
      </w:r>
    </w:p>
    <w:p w14:paraId="6103E5E8">
      <w:pPr>
        <w:spacing w:line="440" w:lineRule="exact"/>
        <w:ind w:firstLine="420" w:firstLineChars="200"/>
        <w:rPr>
          <w:rFonts w:hint="eastAsia" w:ascii="宋体" w:hAnsi="宋体" w:eastAsia="宋体" w:cs="宋体"/>
          <w:bCs/>
          <w:color w:val="auto"/>
          <w:szCs w:val="21"/>
          <w:highlight w:val="none"/>
          <w:u w:val="single"/>
          <w:lang w:eastAsia="zh-CN"/>
        </w:rPr>
      </w:pPr>
      <w:r>
        <w:rPr>
          <w:rFonts w:hint="eastAsia" w:ascii="宋体" w:hAnsi="宋体" w:cs="宋体"/>
          <w:color w:val="auto"/>
          <w:szCs w:val="21"/>
          <w:highlight w:val="none"/>
          <w:u w:val="single"/>
          <w:lang w:eastAsia="zh-CN"/>
        </w:rPr>
        <w:t>注：</w:t>
      </w:r>
      <w:r>
        <w:rPr>
          <w:rFonts w:hint="eastAsia" w:ascii="宋体" w:hAnsi="宋体" w:eastAsia="宋体" w:cs="宋体"/>
          <w:bCs/>
          <w:color w:val="auto"/>
          <w:szCs w:val="21"/>
          <w:highlight w:val="none"/>
          <w:u w:val="single"/>
        </w:rPr>
        <w:t>供应商必须在首次响应文件提交截止时间前，将响应文件密封送达首次响应文件提交地点。在首次响应文件提交截止时间后送达的响应文件为无效文件，采购代理机构</w:t>
      </w:r>
      <w:r>
        <w:rPr>
          <w:rFonts w:hint="eastAsia" w:ascii="宋体" w:hAnsi="宋体" w:eastAsia="宋体" w:cs="宋体"/>
          <w:bCs/>
          <w:color w:val="auto"/>
          <w:szCs w:val="21"/>
          <w:highlight w:val="none"/>
          <w:u w:val="single"/>
          <w:lang w:eastAsia="zh-CN"/>
        </w:rPr>
        <w:t>将</w:t>
      </w:r>
      <w:r>
        <w:rPr>
          <w:rFonts w:hint="eastAsia" w:ascii="宋体" w:hAnsi="宋体" w:eastAsia="宋体" w:cs="宋体"/>
          <w:bCs/>
          <w:color w:val="auto"/>
          <w:szCs w:val="21"/>
          <w:highlight w:val="none"/>
          <w:u w:val="single"/>
        </w:rPr>
        <w:t>拒收</w:t>
      </w:r>
      <w:r>
        <w:rPr>
          <w:rFonts w:hint="eastAsia" w:ascii="宋体" w:hAnsi="宋体" w:eastAsia="宋体" w:cs="宋体"/>
          <w:bCs/>
          <w:color w:val="auto"/>
          <w:szCs w:val="21"/>
          <w:highlight w:val="none"/>
          <w:u w:val="single"/>
          <w:lang w:eastAsia="zh-CN"/>
        </w:rPr>
        <w:t>。</w:t>
      </w:r>
    </w:p>
    <w:p w14:paraId="1BE13F84">
      <w:pPr>
        <w:pStyle w:val="5"/>
        <w:spacing w:before="0" w:after="0" w:line="440" w:lineRule="exact"/>
        <w:ind w:firstLine="480" w:firstLineChars="200"/>
        <w:rPr>
          <w:rFonts w:ascii="黑体" w:hAnsi="黑体" w:eastAsia="黑体" w:cs="宋体"/>
          <w:b w:val="0"/>
          <w:bCs/>
          <w:color w:val="auto"/>
          <w:sz w:val="24"/>
          <w:szCs w:val="24"/>
          <w:highlight w:val="none"/>
        </w:rPr>
      </w:pPr>
      <w:bookmarkStart w:id="31" w:name="_Toc44229882"/>
      <w:bookmarkStart w:id="32" w:name="_Toc28359093"/>
      <w:bookmarkStart w:id="33" w:name="_Toc35393802"/>
      <w:bookmarkStart w:id="34" w:name="_Toc28359016"/>
      <w:bookmarkStart w:id="35" w:name="_Toc35393633"/>
      <w:bookmarkStart w:id="36" w:name="_Toc8363"/>
      <w:r>
        <w:rPr>
          <w:rFonts w:hint="eastAsia" w:ascii="黑体" w:hAnsi="黑体" w:eastAsia="黑体" w:cs="宋体"/>
          <w:b w:val="0"/>
          <w:bCs/>
          <w:color w:val="auto"/>
          <w:sz w:val="24"/>
          <w:szCs w:val="24"/>
          <w:highlight w:val="none"/>
        </w:rPr>
        <w:t>五、开启</w:t>
      </w:r>
      <w:bookmarkEnd w:id="31"/>
      <w:bookmarkEnd w:id="32"/>
      <w:bookmarkEnd w:id="33"/>
      <w:bookmarkEnd w:id="34"/>
      <w:bookmarkEnd w:id="35"/>
      <w:bookmarkEnd w:id="36"/>
    </w:p>
    <w:p w14:paraId="590F6EBD">
      <w:pPr>
        <w:spacing w:line="440" w:lineRule="exact"/>
        <w:ind w:firstLine="420" w:firstLineChars="200"/>
        <w:rPr>
          <w:rFonts w:ascii="宋体" w:hAnsi="宋体"/>
          <w:bCs/>
          <w:color w:val="auto"/>
          <w:szCs w:val="21"/>
          <w:highlight w:val="none"/>
          <w:u w:val="single"/>
        </w:rPr>
      </w:pPr>
      <w:r>
        <w:rPr>
          <w:rFonts w:hint="eastAsia" w:ascii="宋体" w:hAnsi="宋体"/>
          <w:color w:val="auto"/>
          <w:szCs w:val="21"/>
          <w:highlight w:val="none"/>
        </w:rPr>
        <w:t>1</w:t>
      </w:r>
      <w:r>
        <w:rPr>
          <w:rFonts w:ascii="宋体" w:hAnsi="宋体"/>
          <w:color w:val="auto"/>
          <w:szCs w:val="21"/>
          <w:highlight w:val="none"/>
        </w:rPr>
        <w:t>.</w:t>
      </w:r>
      <w:r>
        <w:rPr>
          <w:rFonts w:hint="eastAsia" w:ascii="宋体" w:hAnsi="宋体"/>
          <w:color w:val="auto"/>
          <w:szCs w:val="21"/>
          <w:highlight w:val="none"/>
        </w:rPr>
        <w:t>时间：</w:t>
      </w:r>
      <w:r>
        <w:rPr>
          <w:rFonts w:hint="eastAsia" w:ascii="宋体" w:hAnsi="宋体"/>
          <w:color w:val="auto"/>
          <w:szCs w:val="21"/>
          <w:highlight w:val="none"/>
          <w:u w:val="single"/>
          <w:lang w:eastAsia="zh-CN"/>
        </w:rPr>
        <w:t>2025年6月24日9时00分</w:t>
      </w:r>
      <w:r>
        <w:rPr>
          <w:rFonts w:hint="eastAsia" w:ascii="宋体" w:hAnsi="宋体"/>
          <w:bCs/>
          <w:color w:val="auto"/>
          <w:szCs w:val="21"/>
          <w:highlight w:val="none"/>
        </w:rPr>
        <w:t>（北京时间）</w:t>
      </w:r>
      <w:r>
        <w:rPr>
          <w:rFonts w:hint="eastAsia" w:ascii="宋体" w:hAnsi="宋体"/>
          <w:color w:val="auto"/>
          <w:szCs w:val="21"/>
          <w:highlight w:val="none"/>
        </w:rPr>
        <w:t>后</w:t>
      </w:r>
    </w:p>
    <w:p w14:paraId="012132B0">
      <w:pPr>
        <w:spacing w:line="440" w:lineRule="exact"/>
        <w:ind w:firstLine="420" w:firstLineChars="200"/>
        <w:rPr>
          <w:rFonts w:ascii="宋体" w:hAnsi="宋体"/>
          <w:bCs/>
          <w:color w:val="auto"/>
          <w:szCs w:val="21"/>
          <w:highlight w:val="none"/>
          <w:u w:val="single"/>
        </w:rPr>
      </w:pPr>
      <w:r>
        <w:rPr>
          <w:rFonts w:hint="eastAsia" w:ascii="宋体" w:hAnsi="宋体"/>
          <w:color w:val="auto"/>
          <w:szCs w:val="21"/>
          <w:highlight w:val="none"/>
        </w:rPr>
        <w:t>2</w:t>
      </w:r>
      <w:r>
        <w:rPr>
          <w:rFonts w:ascii="宋体" w:hAnsi="宋体"/>
          <w:color w:val="auto"/>
          <w:szCs w:val="21"/>
          <w:highlight w:val="none"/>
        </w:rPr>
        <w:t>.</w:t>
      </w:r>
      <w:r>
        <w:rPr>
          <w:rFonts w:hint="eastAsia" w:ascii="宋体" w:hAnsi="宋体"/>
          <w:color w:val="auto"/>
          <w:szCs w:val="21"/>
          <w:highlight w:val="none"/>
        </w:rPr>
        <w:t>地点：</w:t>
      </w:r>
      <w:r>
        <w:rPr>
          <w:rFonts w:hint="eastAsia" w:ascii="宋体" w:hAnsi="宋体" w:cs="宋体"/>
          <w:color w:val="auto"/>
          <w:szCs w:val="21"/>
          <w:highlight w:val="none"/>
          <w:u w:val="single"/>
          <w:lang w:eastAsia="zh-CN"/>
        </w:rPr>
        <w:t>广西城建咨询设计有限公司（南宁市青秀区金湖路58号广西建设大厦三楼）</w:t>
      </w:r>
    </w:p>
    <w:p w14:paraId="1C32B99E">
      <w:pPr>
        <w:pStyle w:val="5"/>
        <w:spacing w:before="0" w:after="0" w:line="440" w:lineRule="exact"/>
        <w:ind w:firstLine="480" w:firstLineChars="200"/>
        <w:rPr>
          <w:rFonts w:ascii="黑体" w:hAnsi="黑体" w:eastAsia="黑体" w:cs="宋体"/>
          <w:b w:val="0"/>
          <w:bCs/>
          <w:color w:val="auto"/>
          <w:sz w:val="24"/>
          <w:szCs w:val="24"/>
          <w:highlight w:val="none"/>
        </w:rPr>
      </w:pPr>
      <w:bookmarkStart w:id="37" w:name="_Toc28359017"/>
      <w:bookmarkStart w:id="38" w:name="_Toc35393634"/>
      <w:bookmarkStart w:id="39" w:name="_Toc20412"/>
      <w:bookmarkStart w:id="40" w:name="_Toc44229883"/>
      <w:bookmarkStart w:id="41" w:name="_Toc28359094"/>
      <w:bookmarkStart w:id="42" w:name="_Toc35393803"/>
      <w:r>
        <w:rPr>
          <w:rFonts w:hint="eastAsia" w:ascii="黑体" w:hAnsi="黑体" w:eastAsia="黑体" w:cs="宋体"/>
          <w:b w:val="0"/>
          <w:bCs/>
          <w:color w:val="auto"/>
          <w:sz w:val="24"/>
          <w:szCs w:val="24"/>
          <w:highlight w:val="none"/>
        </w:rPr>
        <w:t>六、公告期限</w:t>
      </w:r>
      <w:bookmarkEnd w:id="37"/>
      <w:bookmarkEnd w:id="38"/>
      <w:bookmarkEnd w:id="39"/>
      <w:bookmarkEnd w:id="40"/>
      <w:bookmarkEnd w:id="41"/>
      <w:bookmarkEnd w:id="42"/>
    </w:p>
    <w:p w14:paraId="48439A9C">
      <w:pPr>
        <w:spacing w:before="0" w:after="0" w:line="440" w:lineRule="exact"/>
        <w:ind w:firstLine="420" w:firstLineChars="200"/>
        <w:rPr>
          <w:rFonts w:hint="eastAsia" w:ascii="宋体" w:hAnsi="宋体" w:eastAsia="宋体" w:cs="宋体"/>
          <w:b w:val="0"/>
          <w:bCs w:val="0"/>
          <w:color w:val="auto"/>
          <w:kern w:val="0"/>
          <w:sz w:val="21"/>
          <w:szCs w:val="21"/>
          <w:highlight w:val="none"/>
          <w:lang w:val="en-US" w:eastAsia="zh-CN"/>
        </w:rPr>
      </w:pPr>
      <w:r>
        <w:rPr>
          <w:rFonts w:hint="eastAsia" w:ascii="宋体" w:hAnsi="宋体" w:cs="宋体"/>
          <w:color w:val="auto"/>
          <w:kern w:val="0"/>
          <w:szCs w:val="21"/>
          <w:highlight w:val="none"/>
        </w:rPr>
        <w:t>自本公告发布之日起</w:t>
      </w:r>
      <w:r>
        <w:rPr>
          <w:rFonts w:hint="eastAsia" w:ascii="宋体" w:hAnsi="宋体" w:cs="宋体"/>
          <w:color w:val="auto"/>
          <w:kern w:val="0"/>
          <w:szCs w:val="21"/>
          <w:highlight w:val="none"/>
          <w:lang w:eastAsia="zh-CN"/>
        </w:rPr>
        <w:t>3</w:t>
      </w:r>
      <w:r>
        <w:rPr>
          <w:rFonts w:hint="eastAsia" w:ascii="宋体" w:hAnsi="宋体" w:cs="宋体"/>
          <w:color w:val="auto"/>
          <w:kern w:val="0"/>
          <w:szCs w:val="21"/>
          <w:highlight w:val="none"/>
        </w:rPr>
        <w:t>个工作日</w:t>
      </w:r>
      <w:bookmarkStart w:id="43" w:name="_Toc35393635"/>
      <w:bookmarkStart w:id="44" w:name="_Toc35393804"/>
      <w:bookmarkStart w:id="45" w:name="_Toc24031"/>
      <w:bookmarkStart w:id="46" w:name="_Toc44229884"/>
      <w:r>
        <w:rPr>
          <w:rFonts w:hint="eastAsia" w:ascii="宋体" w:hAnsi="宋体" w:cs="宋体"/>
          <w:b w:val="0"/>
          <w:bCs w:val="0"/>
          <w:color w:val="auto"/>
          <w:kern w:val="0"/>
          <w:sz w:val="21"/>
          <w:szCs w:val="21"/>
          <w:highlight w:val="none"/>
          <w:lang w:eastAsia="zh-CN"/>
        </w:rPr>
        <w:t>。</w:t>
      </w:r>
    </w:p>
    <w:p w14:paraId="1ABBDB3A">
      <w:pPr>
        <w:pStyle w:val="5"/>
        <w:spacing w:before="0" w:after="0" w:line="440" w:lineRule="exact"/>
        <w:ind w:firstLine="480" w:firstLineChars="200"/>
        <w:rPr>
          <w:rFonts w:ascii="黑体" w:hAnsi="黑体" w:eastAsia="黑体" w:cs="宋体"/>
          <w:b w:val="0"/>
          <w:bCs/>
          <w:color w:val="auto"/>
          <w:sz w:val="24"/>
          <w:szCs w:val="24"/>
          <w:highlight w:val="none"/>
        </w:rPr>
      </w:pPr>
      <w:r>
        <w:rPr>
          <w:rFonts w:hint="eastAsia" w:ascii="黑体" w:hAnsi="黑体" w:eastAsia="黑体" w:cs="宋体"/>
          <w:b w:val="0"/>
          <w:bCs/>
          <w:color w:val="auto"/>
          <w:sz w:val="24"/>
          <w:szCs w:val="24"/>
          <w:highlight w:val="none"/>
        </w:rPr>
        <w:t>七、其他补充事宜</w:t>
      </w:r>
      <w:bookmarkEnd w:id="43"/>
      <w:bookmarkEnd w:id="44"/>
      <w:bookmarkEnd w:id="45"/>
      <w:bookmarkEnd w:id="46"/>
    </w:p>
    <w:p w14:paraId="1D80ED05">
      <w:pPr>
        <w:spacing w:line="440" w:lineRule="exact"/>
        <w:ind w:firstLine="422" w:firstLineChars="200"/>
        <w:rPr>
          <w:rFonts w:ascii="宋体" w:hAnsi="宋体" w:cs="宋体"/>
          <w:color w:val="auto"/>
          <w:kern w:val="0"/>
          <w:szCs w:val="21"/>
          <w:highlight w:val="none"/>
        </w:rPr>
      </w:pPr>
      <w:r>
        <w:rPr>
          <w:rFonts w:hint="eastAsia" w:ascii="宋体" w:hAnsi="宋体" w:cs="宋体"/>
          <w:b/>
          <w:bCs/>
          <w:color w:val="auto"/>
          <w:kern w:val="0"/>
          <w:szCs w:val="21"/>
          <w:highlight w:val="none"/>
        </w:rPr>
        <w:t>1</w:t>
      </w:r>
      <w:r>
        <w:rPr>
          <w:rFonts w:ascii="宋体" w:hAnsi="宋体" w:cs="宋体"/>
          <w:b/>
          <w:bCs/>
          <w:color w:val="auto"/>
          <w:kern w:val="0"/>
          <w:szCs w:val="21"/>
          <w:highlight w:val="none"/>
        </w:rPr>
        <w:t>.</w:t>
      </w:r>
      <w:r>
        <w:rPr>
          <w:rFonts w:hint="eastAsia" w:ascii="宋体" w:hAnsi="宋体" w:cs="宋体"/>
          <w:b/>
          <w:bCs/>
          <w:color w:val="auto"/>
          <w:kern w:val="0"/>
          <w:szCs w:val="21"/>
          <w:highlight w:val="none"/>
        </w:rPr>
        <w:t>磋商保证金：</w:t>
      </w:r>
      <w:r>
        <w:rPr>
          <w:rFonts w:hint="eastAsia" w:ascii="宋体" w:hAnsi="宋体" w:cs="宋体"/>
          <w:b/>
          <w:bCs/>
          <w:color w:val="auto"/>
          <w:kern w:val="0"/>
          <w:szCs w:val="21"/>
          <w:highlight w:val="none"/>
          <w:lang w:eastAsia="zh-CN"/>
        </w:rPr>
        <w:t>柒仟元整（</w:t>
      </w:r>
      <w:r>
        <w:rPr>
          <w:rFonts w:hint="eastAsia" w:ascii="宋体" w:hAnsi="宋体" w:cs="宋体"/>
          <w:b/>
          <w:bCs/>
          <w:color w:val="auto"/>
          <w:kern w:val="0"/>
          <w:szCs w:val="21"/>
          <w:highlight w:val="none"/>
          <w:lang w:val="en-US" w:eastAsia="zh-CN"/>
        </w:rPr>
        <w:t>¥</w:t>
      </w:r>
      <w:r>
        <w:rPr>
          <w:rFonts w:hint="eastAsia" w:ascii="宋体" w:hAnsi="宋体" w:cs="宋体"/>
          <w:b/>
          <w:bCs/>
          <w:color w:val="auto"/>
          <w:kern w:val="0"/>
          <w:szCs w:val="21"/>
          <w:highlight w:val="none"/>
          <w:lang w:eastAsia="zh-CN"/>
        </w:rPr>
        <w:t>7000.00），须足额交纳。</w:t>
      </w:r>
    </w:p>
    <w:p w14:paraId="3AD97944">
      <w:pPr>
        <w:spacing w:line="440" w:lineRule="exact"/>
        <w:ind w:firstLine="420" w:firstLineChars="200"/>
        <w:rPr>
          <w:rFonts w:hint="eastAsia" w:ascii="宋体" w:hAnsi="宋体" w:cs="宋体"/>
          <w:color w:val="auto"/>
          <w:kern w:val="0"/>
          <w:szCs w:val="21"/>
          <w:highlight w:val="none"/>
        </w:rPr>
      </w:pPr>
      <w:r>
        <w:rPr>
          <w:rFonts w:hint="eastAsia" w:ascii="宋体" w:hAnsi="宋体" w:cs="宋体"/>
          <w:color w:val="auto"/>
          <w:kern w:val="0"/>
          <w:szCs w:val="21"/>
          <w:highlight w:val="none"/>
        </w:rPr>
        <w:t>磋商保证金的缴纳方式：银行转账、支票、汇票、本票或者金融、担保机构出具的保函，禁止采用现金方式。采用银行转账方式的，在首次响应文件提交截止时间前交至采购代理机构指定账户并且到账；采用支票、汇票、本票或者保函等方式的，在首次响应文件提交截止时间前，供应商必须提交单独密封的支票、汇票、本票或者保函原件。否则视为无效磋商保证金。</w:t>
      </w:r>
    </w:p>
    <w:p w14:paraId="59766703">
      <w:pPr>
        <w:spacing w:line="440" w:lineRule="exact"/>
        <w:ind w:firstLine="422" w:firstLineChars="200"/>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本项目竞争性磋商保证金缴纳对公银行账号信息如下：</w:t>
      </w:r>
    </w:p>
    <w:p w14:paraId="453B10AF">
      <w:pPr>
        <w:spacing w:line="440" w:lineRule="exact"/>
        <w:ind w:firstLine="420" w:firstLineChars="200"/>
        <w:rPr>
          <w:rFonts w:hint="eastAsia" w:ascii="宋体" w:hAnsi="宋体" w:cs="宋体"/>
          <w:color w:val="auto"/>
          <w:kern w:val="0"/>
          <w:szCs w:val="21"/>
          <w:highlight w:val="none"/>
        </w:rPr>
      </w:pPr>
      <w:r>
        <w:rPr>
          <w:rFonts w:hint="eastAsia" w:ascii="宋体" w:hAnsi="宋体" w:cs="宋体"/>
          <w:color w:val="auto"/>
          <w:kern w:val="0"/>
          <w:szCs w:val="21"/>
          <w:highlight w:val="none"/>
        </w:rPr>
        <w:t>开户名称：广西城建咨询设计有限公司</w:t>
      </w:r>
    </w:p>
    <w:p w14:paraId="4BF143B1">
      <w:pPr>
        <w:spacing w:line="440" w:lineRule="exact"/>
        <w:ind w:firstLine="420" w:firstLineChars="200"/>
        <w:rPr>
          <w:rFonts w:hint="eastAsia" w:ascii="宋体" w:hAnsi="宋体" w:cs="宋体"/>
          <w:color w:val="auto"/>
          <w:kern w:val="0"/>
          <w:szCs w:val="21"/>
          <w:highlight w:val="none"/>
        </w:rPr>
      </w:pPr>
      <w:r>
        <w:rPr>
          <w:rFonts w:hint="eastAsia" w:ascii="宋体" w:hAnsi="宋体" w:cs="宋体"/>
          <w:color w:val="auto"/>
          <w:kern w:val="0"/>
          <w:szCs w:val="21"/>
          <w:highlight w:val="none"/>
        </w:rPr>
        <w:t>开户银行：建行南宁民族大道东支行</w:t>
      </w:r>
    </w:p>
    <w:p w14:paraId="430043A2">
      <w:pPr>
        <w:spacing w:line="440" w:lineRule="exact"/>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银行账号：4500 1604 6530 5070 3663</w:t>
      </w:r>
    </w:p>
    <w:p w14:paraId="36686DA7">
      <w:pPr>
        <w:spacing w:line="440" w:lineRule="exact"/>
        <w:ind w:firstLine="422" w:firstLineChars="200"/>
        <w:rPr>
          <w:rFonts w:ascii="宋体" w:hAnsi="宋体" w:cs="宋体"/>
          <w:color w:val="auto"/>
          <w:kern w:val="0"/>
          <w:szCs w:val="21"/>
          <w:highlight w:val="none"/>
        </w:rPr>
      </w:pPr>
      <w:r>
        <w:rPr>
          <w:rFonts w:hint="eastAsia" w:ascii="宋体" w:hAnsi="宋体" w:cs="宋体"/>
          <w:b/>
          <w:bCs/>
          <w:color w:val="auto"/>
          <w:kern w:val="0"/>
          <w:szCs w:val="21"/>
          <w:highlight w:val="none"/>
        </w:rPr>
        <w:t>2</w:t>
      </w:r>
      <w:r>
        <w:rPr>
          <w:rFonts w:ascii="宋体" w:hAnsi="宋体" w:cs="宋体"/>
          <w:b/>
          <w:bCs/>
          <w:color w:val="auto"/>
          <w:kern w:val="0"/>
          <w:szCs w:val="21"/>
          <w:highlight w:val="none"/>
        </w:rPr>
        <w:t>.</w:t>
      </w:r>
      <w:r>
        <w:rPr>
          <w:rFonts w:hint="eastAsia" w:ascii="宋体" w:hAnsi="宋体" w:cs="宋体"/>
          <w:b/>
          <w:bCs/>
          <w:color w:val="auto"/>
          <w:kern w:val="0"/>
          <w:szCs w:val="21"/>
          <w:highlight w:val="none"/>
        </w:rPr>
        <w:t>网上查询地址：</w:t>
      </w:r>
      <w:r>
        <w:rPr>
          <w:rFonts w:hint="eastAsia" w:ascii="宋体" w:eastAsia="宋体" w:cs="宋体"/>
          <w:color w:val="auto"/>
          <w:kern w:val="0"/>
          <w:sz w:val="21"/>
          <w:szCs w:val="21"/>
          <w:highlight w:val="none"/>
          <w:lang w:bidi="ar-SA"/>
        </w:rPr>
        <w:t>中国政府采购网（http://www.ccgp.gov.cn）、广西城建咨询设计有限公司网（</w:t>
      </w:r>
      <w:r>
        <w:rPr>
          <w:rFonts w:hint="eastAsia" w:ascii="宋体" w:eastAsia="宋体" w:cs="宋体"/>
          <w:color w:val="auto"/>
          <w:kern w:val="0"/>
          <w:sz w:val="21"/>
          <w:szCs w:val="21"/>
          <w:highlight w:val="none"/>
          <w:lang w:val="en-US" w:eastAsia="zh-CN" w:bidi="ar-SA"/>
        </w:rPr>
        <w:t>http://www.gxchengjian.com/</w:t>
      </w:r>
      <w:r>
        <w:rPr>
          <w:rFonts w:hint="eastAsia" w:ascii="宋体" w:eastAsia="宋体" w:cs="宋体"/>
          <w:color w:val="auto"/>
          <w:kern w:val="0"/>
          <w:sz w:val="21"/>
          <w:szCs w:val="21"/>
          <w:highlight w:val="none"/>
          <w:lang w:bidi="ar-SA"/>
        </w:rPr>
        <w:t>）</w:t>
      </w:r>
      <w:r>
        <w:rPr>
          <w:rFonts w:hint="eastAsia" w:ascii="宋体" w:hAnsi="宋体" w:cs="宋体"/>
          <w:color w:val="auto"/>
          <w:kern w:val="0"/>
          <w:szCs w:val="21"/>
          <w:highlight w:val="none"/>
        </w:rPr>
        <w:t>。</w:t>
      </w:r>
    </w:p>
    <w:p w14:paraId="52761B4F">
      <w:pPr>
        <w:spacing w:line="440" w:lineRule="exact"/>
        <w:ind w:firstLine="422" w:firstLineChars="200"/>
        <w:rPr>
          <w:rFonts w:ascii="宋体" w:hAnsi="宋体" w:cs="宋体"/>
          <w:b/>
          <w:bCs/>
          <w:color w:val="auto"/>
          <w:kern w:val="0"/>
          <w:szCs w:val="21"/>
          <w:highlight w:val="none"/>
        </w:rPr>
      </w:pPr>
      <w:r>
        <w:rPr>
          <w:rFonts w:hint="eastAsia" w:ascii="宋体" w:hAnsi="宋体"/>
          <w:b/>
          <w:bCs/>
          <w:color w:val="auto"/>
          <w:szCs w:val="21"/>
          <w:highlight w:val="none"/>
        </w:rPr>
        <w:t>3</w:t>
      </w:r>
      <w:r>
        <w:rPr>
          <w:rFonts w:ascii="宋体" w:hAnsi="宋体"/>
          <w:b/>
          <w:bCs/>
          <w:color w:val="auto"/>
          <w:szCs w:val="21"/>
          <w:highlight w:val="none"/>
        </w:rPr>
        <w:t>.</w:t>
      </w:r>
      <w:r>
        <w:rPr>
          <w:rFonts w:hint="eastAsia" w:ascii="宋体" w:hAnsi="宋体" w:cs="宋体"/>
          <w:b/>
          <w:bCs/>
          <w:color w:val="auto"/>
          <w:kern w:val="0"/>
          <w:szCs w:val="21"/>
          <w:highlight w:val="none"/>
        </w:rPr>
        <w:t>本项目需要落实的政府采购政策</w:t>
      </w:r>
    </w:p>
    <w:p w14:paraId="0F25C94A">
      <w:pPr>
        <w:spacing w:line="440" w:lineRule="exact"/>
        <w:ind w:firstLine="315" w:firstLineChars="150"/>
        <w:rPr>
          <w:rFonts w:ascii="宋体" w:hAnsi="宋体" w:cs="宋体"/>
          <w:color w:val="auto"/>
          <w:kern w:val="0"/>
          <w:szCs w:val="21"/>
          <w:highlight w:val="none"/>
        </w:rPr>
      </w:pPr>
      <w:r>
        <w:rPr>
          <w:rFonts w:hint="eastAsia" w:ascii="宋体" w:hAnsi="宋体" w:cs="宋体"/>
          <w:color w:val="auto"/>
          <w:kern w:val="0"/>
          <w:szCs w:val="21"/>
          <w:highlight w:val="none"/>
        </w:rPr>
        <w:t>（1）政府采购促进中小企业发展。</w:t>
      </w:r>
    </w:p>
    <w:p w14:paraId="096DB528">
      <w:pPr>
        <w:spacing w:line="440" w:lineRule="exact"/>
        <w:ind w:firstLine="315" w:firstLineChars="150"/>
        <w:rPr>
          <w:rFonts w:ascii="宋体" w:hAnsi="宋体" w:cs="宋体"/>
          <w:color w:val="auto"/>
          <w:kern w:val="0"/>
          <w:szCs w:val="21"/>
          <w:highlight w:val="none"/>
        </w:rPr>
      </w:pPr>
      <w:r>
        <w:rPr>
          <w:rFonts w:hint="eastAsia" w:ascii="宋体" w:hAnsi="宋体" w:cs="宋体"/>
          <w:color w:val="auto"/>
          <w:kern w:val="0"/>
          <w:szCs w:val="21"/>
          <w:highlight w:val="none"/>
        </w:rPr>
        <w:t>（2）政府采购促进残疾人就业政策。</w:t>
      </w:r>
    </w:p>
    <w:p w14:paraId="1B80E8D5">
      <w:pPr>
        <w:spacing w:line="440" w:lineRule="exact"/>
        <w:ind w:firstLine="315" w:firstLineChars="150"/>
        <w:rPr>
          <w:rFonts w:ascii="宋体" w:hAnsi="宋体" w:cs="宋体"/>
          <w:color w:val="auto"/>
          <w:kern w:val="0"/>
          <w:szCs w:val="21"/>
          <w:highlight w:val="none"/>
        </w:rPr>
      </w:pPr>
      <w:r>
        <w:rPr>
          <w:rFonts w:hint="eastAsia" w:ascii="宋体" w:hAnsi="宋体" w:cs="宋体"/>
          <w:color w:val="auto"/>
          <w:kern w:val="0"/>
          <w:szCs w:val="21"/>
          <w:highlight w:val="none"/>
        </w:rPr>
        <w:t>（3）政府采购支持监狱企业发展。</w:t>
      </w:r>
    </w:p>
    <w:p w14:paraId="3C8B7B78">
      <w:pPr>
        <w:pStyle w:val="5"/>
        <w:spacing w:before="0" w:after="0" w:line="440" w:lineRule="exact"/>
        <w:ind w:firstLine="480" w:firstLineChars="200"/>
        <w:rPr>
          <w:rFonts w:ascii="黑体" w:hAnsi="黑体" w:eastAsia="黑体" w:cs="宋体"/>
          <w:bCs w:val="0"/>
          <w:color w:val="auto"/>
          <w:sz w:val="24"/>
          <w:szCs w:val="24"/>
          <w:highlight w:val="none"/>
        </w:rPr>
      </w:pPr>
      <w:bookmarkStart w:id="47" w:name="_Toc28359095"/>
      <w:bookmarkStart w:id="48" w:name="_Toc35393805"/>
      <w:bookmarkStart w:id="49" w:name="_Toc35393636"/>
      <w:bookmarkStart w:id="50" w:name="_Toc44229885"/>
      <w:bookmarkStart w:id="51" w:name="_Toc28359018"/>
      <w:bookmarkStart w:id="52" w:name="_Toc16037"/>
      <w:r>
        <w:rPr>
          <w:rFonts w:hint="eastAsia" w:ascii="黑体" w:hAnsi="黑体" w:eastAsia="黑体" w:cs="宋体"/>
          <w:b w:val="0"/>
          <w:bCs/>
          <w:color w:val="auto"/>
          <w:sz w:val="24"/>
          <w:szCs w:val="24"/>
          <w:highlight w:val="none"/>
        </w:rPr>
        <w:t>八、凡对本次采购提出询问，请按</w:t>
      </w:r>
      <w:r>
        <w:rPr>
          <w:rFonts w:ascii="黑体" w:hAnsi="黑体" w:eastAsia="黑体" w:cs="宋体"/>
          <w:b w:val="0"/>
          <w:bCs/>
          <w:color w:val="auto"/>
          <w:sz w:val="24"/>
          <w:szCs w:val="24"/>
          <w:highlight w:val="none"/>
        </w:rPr>
        <w:t>以下方式</w:t>
      </w:r>
      <w:r>
        <w:rPr>
          <w:rFonts w:hint="eastAsia" w:ascii="黑体" w:hAnsi="黑体" w:eastAsia="黑体" w:cs="宋体"/>
          <w:b w:val="0"/>
          <w:bCs/>
          <w:color w:val="auto"/>
          <w:sz w:val="24"/>
          <w:szCs w:val="24"/>
          <w:highlight w:val="none"/>
        </w:rPr>
        <w:t>联系。</w:t>
      </w:r>
      <w:bookmarkEnd w:id="47"/>
      <w:bookmarkEnd w:id="48"/>
      <w:bookmarkEnd w:id="49"/>
      <w:bookmarkEnd w:id="50"/>
      <w:bookmarkEnd w:id="51"/>
      <w:bookmarkEnd w:id="52"/>
    </w:p>
    <w:p w14:paraId="4E6496FB">
      <w:pPr>
        <w:spacing w:line="440" w:lineRule="exact"/>
        <w:ind w:firstLine="420" w:firstLineChars="200"/>
        <w:rPr>
          <w:rFonts w:ascii="宋体" w:hAnsi="宋体"/>
          <w:color w:val="auto"/>
          <w:szCs w:val="21"/>
          <w:highlight w:val="none"/>
        </w:rPr>
      </w:pPr>
      <w:bookmarkStart w:id="53" w:name="_Toc35393806"/>
      <w:bookmarkStart w:id="54" w:name="_Toc28359096"/>
      <w:bookmarkStart w:id="55" w:name="_Toc35393637"/>
      <w:bookmarkStart w:id="56" w:name="_Toc28359019"/>
      <w:r>
        <w:rPr>
          <w:rFonts w:hint="eastAsia" w:ascii="宋体" w:hAnsi="宋体"/>
          <w:color w:val="auto"/>
          <w:szCs w:val="21"/>
          <w:highlight w:val="none"/>
        </w:rPr>
        <w:t>1.采购人信息</w:t>
      </w:r>
      <w:bookmarkEnd w:id="53"/>
      <w:bookmarkEnd w:id="54"/>
      <w:bookmarkEnd w:id="55"/>
      <w:bookmarkEnd w:id="56"/>
    </w:p>
    <w:p w14:paraId="5FA40C00">
      <w:pPr>
        <w:spacing w:line="440" w:lineRule="exact"/>
        <w:ind w:firstLine="420" w:firstLineChars="200"/>
        <w:rPr>
          <w:rFonts w:ascii="宋体" w:hAnsi="宋体"/>
          <w:color w:val="auto"/>
          <w:szCs w:val="21"/>
          <w:highlight w:val="none"/>
        </w:rPr>
      </w:pPr>
      <w:r>
        <w:rPr>
          <w:rFonts w:hint="eastAsia" w:ascii="宋体" w:hAnsi="宋体"/>
          <w:color w:val="auto"/>
          <w:szCs w:val="21"/>
          <w:highlight w:val="none"/>
        </w:rPr>
        <w:t xml:space="preserve">名    称：中华人民共和国广西出入境边防检查总站 </w:t>
      </w:r>
    </w:p>
    <w:p w14:paraId="63E00EF9">
      <w:pPr>
        <w:spacing w:line="440" w:lineRule="exact"/>
        <w:ind w:firstLine="420" w:firstLineChars="200"/>
        <w:rPr>
          <w:rFonts w:ascii="宋体" w:hAnsi="宋体"/>
          <w:color w:val="auto"/>
          <w:szCs w:val="21"/>
          <w:highlight w:val="none"/>
        </w:rPr>
      </w:pPr>
      <w:r>
        <w:rPr>
          <w:rFonts w:hint="eastAsia" w:ascii="宋体" w:hAnsi="宋体"/>
          <w:color w:val="auto"/>
          <w:szCs w:val="21"/>
          <w:highlight w:val="none"/>
        </w:rPr>
        <w:t>地    址：广西南宁市良庆区春华路1号</w:t>
      </w:r>
    </w:p>
    <w:p w14:paraId="43001A7C">
      <w:pPr>
        <w:spacing w:line="440" w:lineRule="exact"/>
        <w:ind w:firstLine="420" w:firstLineChars="200"/>
        <w:rPr>
          <w:rFonts w:ascii="宋体" w:hAnsi="宋体"/>
          <w:color w:val="auto"/>
          <w:szCs w:val="21"/>
          <w:highlight w:val="none"/>
        </w:rPr>
      </w:pPr>
      <w:bookmarkStart w:id="57" w:name="_Toc35393807"/>
      <w:bookmarkStart w:id="58" w:name="_Toc28359020"/>
      <w:bookmarkStart w:id="59" w:name="_Toc28359097"/>
      <w:bookmarkStart w:id="60" w:name="_Toc35393638"/>
      <w:r>
        <w:rPr>
          <w:rFonts w:hint="eastAsia" w:ascii="宋体" w:hAnsi="宋体"/>
          <w:color w:val="auto"/>
          <w:szCs w:val="21"/>
          <w:highlight w:val="none"/>
        </w:rPr>
        <w:t>联系方式：刘警官</w:t>
      </w:r>
    </w:p>
    <w:p w14:paraId="58D93AEF">
      <w:pPr>
        <w:spacing w:line="440" w:lineRule="exact"/>
        <w:ind w:firstLine="420" w:firstLineChars="200"/>
        <w:rPr>
          <w:rFonts w:ascii="宋体" w:hAnsi="宋体"/>
          <w:color w:val="auto"/>
          <w:szCs w:val="21"/>
          <w:highlight w:val="none"/>
        </w:rPr>
      </w:pPr>
      <w:r>
        <w:rPr>
          <w:rFonts w:hint="eastAsia" w:ascii="宋体" w:hAnsi="宋体"/>
          <w:color w:val="auto"/>
          <w:szCs w:val="21"/>
          <w:highlight w:val="none"/>
        </w:rPr>
        <w:t>联系电话：0771-3286578</w:t>
      </w:r>
    </w:p>
    <w:p w14:paraId="3423901B">
      <w:pPr>
        <w:spacing w:line="440" w:lineRule="exact"/>
        <w:ind w:firstLine="420" w:firstLineChars="200"/>
        <w:rPr>
          <w:rFonts w:hint="eastAsia" w:ascii="宋体" w:hAnsi="宋体" w:eastAsia="宋体" w:cs="Times New Roman"/>
          <w:color w:val="auto"/>
          <w:szCs w:val="21"/>
          <w:highlight w:val="none"/>
        </w:rPr>
      </w:pPr>
      <w:r>
        <w:rPr>
          <w:rFonts w:hint="eastAsia" w:ascii="宋体" w:hAnsi="宋体" w:eastAsia="宋体" w:cs="Times New Roman"/>
          <w:color w:val="auto"/>
          <w:szCs w:val="21"/>
          <w:highlight w:val="none"/>
        </w:rPr>
        <w:t>2.采购代理机构信息</w:t>
      </w:r>
      <w:bookmarkEnd w:id="57"/>
      <w:bookmarkEnd w:id="58"/>
      <w:bookmarkEnd w:id="59"/>
      <w:bookmarkEnd w:id="60"/>
    </w:p>
    <w:p w14:paraId="00E2982C">
      <w:pPr>
        <w:spacing w:line="440" w:lineRule="exact"/>
        <w:ind w:firstLine="420" w:firstLineChars="200"/>
        <w:rPr>
          <w:rFonts w:hint="eastAsia" w:ascii="宋体" w:hAnsi="宋体" w:eastAsia="宋体" w:cs="Times New Roman"/>
          <w:color w:val="auto"/>
          <w:szCs w:val="21"/>
          <w:highlight w:val="none"/>
        </w:rPr>
      </w:pPr>
      <w:r>
        <w:rPr>
          <w:rFonts w:hint="eastAsia" w:ascii="宋体" w:hAnsi="宋体" w:eastAsia="宋体" w:cs="Times New Roman"/>
          <w:color w:val="auto"/>
          <w:szCs w:val="21"/>
          <w:highlight w:val="none"/>
        </w:rPr>
        <w:t>名称：广西城建咨询设计有限公司</w:t>
      </w:r>
    </w:p>
    <w:p w14:paraId="57365709">
      <w:pPr>
        <w:spacing w:line="440" w:lineRule="exact"/>
        <w:ind w:firstLine="420" w:firstLineChars="200"/>
        <w:rPr>
          <w:rFonts w:hint="eastAsia" w:ascii="宋体" w:hAnsi="宋体" w:eastAsia="宋体" w:cs="Times New Roman"/>
          <w:color w:val="auto"/>
          <w:szCs w:val="21"/>
          <w:highlight w:val="none"/>
        </w:rPr>
      </w:pPr>
      <w:r>
        <w:rPr>
          <w:rFonts w:hint="eastAsia" w:ascii="宋体" w:hAnsi="宋体" w:eastAsia="宋体" w:cs="Times New Roman"/>
          <w:color w:val="auto"/>
          <w:szCs w:val="21"/>
          <w:highlight w:val="none"/>
        </w:rPr>
        <w:t>地址：南宁市青秀区金湖路58号广西建设大厦三楼</w:t>
      </w:r>
    </w:p>
    <w:p w14:paraId="7E32CC07">
      <w:pPr>
        <w:spacing w:line="440" w:lineRule="exact"/>
        <w:ind w:firstLine="420" w:firstLineChars="200"/>
        <w:rPr>
          <w:rFonts w:hint="eastAsia" w:ascii="宋体" w:hAnsi="宋体" w:eastAsia="宋体" w:cs="Times New Roman"/>
          <w:color w:val="auto"/>
          <w:szCs w:val="21"/>
          <w:highlight w:val="none"/>
        </w:rPr>
      </w:pPr>
      <w:r>
        <w:rPr>
          <w:rFonts w:hint="eastAsia" w:ascii="宋体" w:hAnsi="宋体" w:eastAsia="宋体" w:cs="Times New Roman"/>
          <w:color w:val="auto"/>
          <w:szCs w:val="21"/>
          <w:highlight w:val="none"/>
        </w:rPr>
        <w:t>联系方式：19175895822/15977505290</w:t>
      </w:r>
    </w:p>
    <w:p w14:paraId="39D2C4E8">
      <w:pPr>
        <w:spacing w:line="440" w:lineRule="exact"/>
        <w:ind w:firstLine="420" w:firstLineChars="200"/>
        <w:rPr>
          <w:rFonts w:hint="eastAsia" w:ascii="宋体" w:hAnsi="宋体" w:eastAsia="宋体" w:cs="Times New Roman"/>
          <w:color w:val="auto"/>
          <w:szCs w:val="21"/>
          <w:highlight w:val="none"/>
        </w:rPr>
      </w:pPr>
      <w:r>
        <w:rPr>
          <w:rFonts w:hint="eastAsia" w:ascii="宋体" w:hAnsi="宋体" w:eastAsia="宋体" w:cs="Times New Roman"/>
          <w:color w:val="auto"/>
          <w:szCs w:val="21"/>
          <w:highlight w:val="none"/>
        </w:rPr>
        <w:t>3.项目联系方式</w:t>
      </w:r>
    </w:p>
    <w:p w14:paraId="1AA58CAB">
      <w:pPr>
        <w:spacing w:line="440" w:lineRule="exact"/>
        <w:ind w:firstLine="420" w:firstLineChars="200"/>
        <w:rPr>
          <w:rFonts w:hint="eastAsia" w:ascii="宋体" w:hAnsi="宋体" w:eastAsia="宋体" w:cs="Times New Roman"/>
          <w:color w:val="auto"/>
          <w:szCs w:val="21"/>
          <w:highlight w:val="none"/>
        </w:rPr>
      </w:pPr>
      <w:r>
        <w:rPr>
          <w:rFonts w:hint="eastAsia" w:ascii="宋体" w:hAnsi="宋体" w:eastAsia="宋体" w:cs="Times New Roman"/>
          <w:color w:val="auto"/>
          <w:szCs w:val="21"/>
          <w:highlight w:val="none"/>
        </w:rPr>
        <w:t>项目联系人：苏龙葭/梁宝月</w:t>
      </w:r>
      <w:r>
        <w:rPr>
          <w:rFonts w:hint="eastAsia" w:ascii="宋体" w:hAnsi="宋体" w:cs="Times New Roman"/>
          <w:color w:val="auto"/>
          <w:szCs w:val="21"/>
          <w:highlight w:val="none"/>
          <w:lang w:val="en-US" w:eastAsia="zh-CN"/>
        </w:rPr>
        <w:t xml:space="preserve"> </w:t>
      </w:r>
      <w:r>
        <w:rPr>
          <w:rFonts w:hint="eastAsia" w:ascii="宋体" w:hAnsi="宋体" w:eastAsia="宋体" w:cs="Times New Roman"/>
          <w:color w:val="auto"/>
          <w:szCs w:val="21"/>
          <w:highlight w:val="none"/>
        </w:rPr>
        <w:t>电话：19175895822/15977505290</w:t>
      </w:r>
    </w:p>
    <w:p w14:paraId="41B1F4A7">
      <w:pPr>
        <w:spacing w:line="440" w:lineRule="exact"/>
        <w:ind w:firstLine="4830" w:firstLineChars="2300"/>
        <w:jc w:val="right"/>
        <w:rPr>
          <w:rFonts w:ascii="宋体" w:hAnsi="宋体"/>
          <w:color w:val="auto"/>
          <w:szCs w:val="21"/>
          <w:highlight w:val="none"/>
        </w:rPr>
      </w:pPr>
      <w:r>
        <w:rPr>
          <w:rFonts w:hint="eastAsia" w:ascii="宋体" w:hAnsi="宋体"/>
          <w:color w:val="auto"/>
          <w:szCs w:val="21"/>
          <w:highlight w:val="none"/>
          <w:lang w:eastAsia="zh-CN"/>
        </w:rPr>
        <w:t>广西城建咨询设计有限公司</w:t>
      </w:r>
    </w:p>
    <w:p w14:paraId="159025FB">
      <w:pPr>
        <w:spacing w:line="440" w:lineRule="exact"/>
        <w:ind w:firstLine="5460" w:firstLineChars="2600"/>
        <w:jc w:val="right"/>
        <w:rPr>
          <w:rFonts w:ascii="宋体" w:hAnsi="宋体"/>
          <w:color w:val="auto"/>
          <w:szCs w:val="21"/>
          <w:highlight w:val="none"/>
        </w:rPr>
      </w:pPr>
      <w:r>
        <w:rPr>
          <w:rFonts w:hint="eastAsia" w:ascii="宋体" w:hAnsi="宋体"/>
          <w:color w:val="auto"/>
          <w:szCs w:val="21"/>
          <w:highlight w:val="none"/>
        </w:rPr>
        <w:t xml:space="preserve"> </w:t>
      </w:r>
      <w:bookmarkEnd w:id="6"/>
      <w:bookmarkStart w:id="61" w:name="_Toc44229894"/>
      <w:r>
        <w:rPr>
          <w:rFonts w:hint="eastAsia" w:ascii="宋体" w:hAnsi="宋体"/>
          <w:color w:val="auto"/>
          <w:szCs w:val="21"/>
          <w:highlight w:val="none"/>
          <w:lang w:eastAsia="zh-CN"/>
        </w:rPr>
        <w:t>2025年</w:t>
      </w:r>
      <w:r>
        <w:rPr>
          <w:rFonts w:hint="eastAsia" w:ascii="宋体" w:hAnsi="宋体"/>
          <w:color w:val="auto"/>
          <w:szCs w:val="21"/>
          <w:highlight w:val="none"/>
          <w:lang w:val="en-US" w:eastAsia="zh-CN"/>
        </w:rPr>
        <w:t>6</w:t>
      </w:r>
      <w:r>
        <w:rPr>
          <w:rFonts w:hint="eastAsia" w:ascii="宋体" w:hAnsi="宋体"/>
          <w:color w:val="auto"/>
          <w:szCs w:val="21"/>
          <w:highlight w:val="none"/>
          <w:lang w:eastAsia="zh-CN"/>
        </w:rPr>
        <w:t>月</w:t>
      </w:r>
      <w:r>
        <w:rPr>
          <w:rFonts w:hint="eastAsia" w:ascii="宋体" w:hAnsi="宋体"/>
          <w:color w:val="auto"/>
          <w:szCs w:val="21"/>
          <w:highlight w:val="none"/>
          <w:lang w:val="en-US" w:eastAsia="zh-CN"/>
        </w:rPr>
        <w:t>11</w:t>
      </w:r>
      <w:r>
        <w:rPr>
          <w:rFonts w:hint="eastAsia" w:ascii="宋体" w:hAnsi="宋体"/>
          <w:color w:val="auto"/>
          <w:szCs w:val="21"/>
          <w:highlight w:val="none"/>
          <w:lang w:eastAsia="zh-CN"/>
        </w:rPr>
        <w:t>日</w:t>
      </w:r>
    </w:p>
    <w:p w14:paraId="4BBD209D">
      <w:pPr>
        <w:pStyle w:val="4"/>
        <w:jc w:val="center"/>
        <w:rPr>
          <w:rStyle w:val="56"/>
          <w:rFonts w:hint="default"/>
          <w:b/>
          <w:color w:val="auto"/>
          <w:sz w:val="32"/>
          <w:szCs w:val="32"/>
          <w:highlight w:val="none"/>
        </w:rPr>
      </w:pPr>
      <w:bookmarkStart w:id="62" w:name="_Toc2255"/>
      <w:bookmarkStart w:id="63" w:name="_Toc9011"/>
      <w:bookmarkStart w:id="64" w:name="_Toc2689"/>
      <w:r>
        <w:rPr>
          <w:rStyle w:val="56"/>
          <w:b/>
          <w:color w:val="auto"/>
          <w:sz w:val="32"/>
          <w:szCs w:val="32"/>
          <w:highlight w:val="none"/>
        </w:rPr>
        <w:br w:type="page"/>
      </w:r>
      <w:r>
        <w:rPr>
          <w:rStyle w:val="56"/>
          <w:b/>
          <w:color w:val="auto"/>
          <w:sz w:val="32"/>
          <w:szCs w:val="32"/>
          <w:highlight w:val="none"/>
        </w:rPr>
        <w:t>第二章 供应商须知</w:t>
      </w:r>
      <w:bookmarkEnd w:id="61"/>
      <w:bookmarkEnd w:id="62"/>
      <w:bookmarkEnd w:id="63"/>
      <w:bookmarkEnd w:id="64"/>
    </w:p>
    <w:p w14:paraId="658D7E1D">
      <w:pPr>
        <w:spacing w:line="440" w:lineRule="exact"/>
        <w:jc w:val="center"/>
        <w:rPr>
          <w:rFonts w:ascii="宋体" w:hAnsi="宋体"/>
          <w:b/>
          <w:color w:val="auto"/>
          <w:sz w:val="30"/>
          <w:szCs w:val="30"/>
          <w:highlight w:val="none"/>
        </w:rPr>
      </w:pPr>
      <w:r>
        <w:rPr>
          <w:rFonts w:hint="eastAsia" w:ascii="宋体" w:hAnsi="宋体"/>
          <w:b/>
          <w:color w:val="auto"/>
          <w:sz w:val="30"/>
          <w:szCs w:val="30"/>
          <w:highlight w:val="none"/>
        </w:rPr>
        <w:t>供应商须知前附表</w:t>
      </w:r>
    </w:p>
    <w:tbl>
      <w:tblPr>
        <w:tblStyle w:val="31"/>
        <w:tblW w:w="890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117"/>
        <w:gridCol w:w="7787"/>
      </w:tblGrid>
      <w:tr w14:paraId="36B706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5" w:hRule="atLeast"/>
          <w:jc w:val="center"/>
        </w:trPr>
        <w:tc>
          <w:tcPr>
            <w:tcW w:w="1117" w:type="dxa"/>
          </w:tcPr>
          <w:p w14:paraId="1501D4E0">
            <w:pPr>
              <w:spacing w:line="440" w:lineRule="exact"/>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条款号</w:t>
            </w:r>
          </w:p>
        </w:tc>
        <w:tc>
          <w:tcPr>
            <w:tcW w:w="7787" w:type="dxa"/>
          </w:tcPr>
          <w:p w14:paraId="37E5D495">
            <w:pPr>
              <w:spacing w:line="440" w:lineRule="exact"/>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内    容</w:t>
            </w:r>
          </w:p>
        </w:tc>
      </w:tr>
      <w:tr w14:paraId="4A6E8D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1" w:hRule="atLeast"/>
          <w:jc w:val="center"/>
        </w:trPr>
        <w:tc>
          <w:tcPr>
            <w:tcW w:w="1117" w:type="dxa"/>
            <w:vAlign w:val="center"/>
          </w:tcPr>
          <w:p w14:paraId="653A6E45">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p>
        </w:tc>
        <w:tc>
          <w:tcPr>
            <w:tcW w:w="7787" w:type="dxa"/>
            <w:vAlign w:val="center"/>
          </w:tcPr>
          <w:p w14:paraId="600A2A8E">
            <w:pPr>
              <w:spacing w:line="440" w:lineRule="exact"/>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t>供应商的资格条件</w:t>
            </w:r>
            <w:r>
              <w:rPr>
                <w:rFonts w:hint="eastAsia" w:ascii="宋体" w:hAnsi="宋体" w:eastAsia="宋体" w:cs="宋体"/>
                <w:color w:val="auto"/>
                <w:sz w:val="21"/>
                <w:szCs w:val="21"/>
                <w:highlight w:val="none"/>
              </w:rPr>
              <w:t>：详见竞争性磋商公告</w:t>
            </w:r>
          </w:p>
        </w:tc>
      </w:tr>
      <w:tr w14:paraId="188704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0" w:hRule="atLeast"/>
          <w:jc w:val="center"/>
        </w:trPr>
        <w:tc>
          <w:tcPr>
            <w:tcW w:w="1117" w:type="dxa"/>
            <w:vAlign w:val="center"/>
          </w:tcPr>
          <w:p w14:paraId="6A8303C0">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w:t>
            </w:r>
          </w:p>
        </w:tc>
        <w:tc>
          <w:tcPr>
            <w:tcW w:w="7787" w:type="dxa"/>
            <w:vAlign w:val="center"/>
          </w:tcPr>
          <w:p w14:paraId="33BBD5B7">
            <w:pPr>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是否接受联合体竞标： 详见竞争性磋商公告</w:t>
            </w:r>
          </w:p>
        </w:tc>
      </w:tr>
      <w:tr w14:paraId="5445E5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17" w:type="dxa"/>
            <w:vAlign w:val="center"/>
          </w:tcPr>
          <w:p w14:paraId="310C9C00">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w:t>
            </w:r>
          </w:p>
        </w:tc>
        <w:tc>
          <w:tcPr>
            <w:tcW w:w="7787" w:type="dxa"/>
            <w:vAlign w:val="center"/>
          </w:tcPr>
          <w:p w14:paraId="43A33042">
            <w:pPr>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如接受联合体竞标，联合体竞标要求如下：无。</w:t>
            </w:r>
          </w:p>
        </w:tc>
      </w:tr>
      <w:tr w14:paraId="187BB7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17" w:type="dxa"/>
            <w:vAlign w:val="center"/>
          </w:tcPr>
          <w:p w14:paraId="6010F2C0">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6.2</w:t>
            </w:r>
          </w:p>
        </w:tc>
        <w:tc>
          <w:tcPr>
            <w:tcW w:w="7787" w:type="dxa"/>
            <w:vAlign w:val="center"/>
          </w:tcPr>
          <w:p w14:paraId="29BFB7AE">
            <w:pPr>
              <w:pStyle w:val="13"/>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sym w:font="Wingdings 2" w:char="0052"/>
            </w:r>
            <w:r>
              <w:rPr>
                <w:rFonts w:hint="eastAsia" w:ascii="宋体" w:hAnsi="宋体" w:eastAsia="宋体" w:cs="宋体"/>
                <w:color w:val="auto"/>
                <w:sz w:val="21"/>
                <w:szCs w:val="21"/>
                <w:highlight w:val="none"/>
              </w:rPr>
              <w:t>不允许分包和转包</w:t>
            </w:r>
          </w:p>
        </w:tc>
      </w:tr>
      <w:tr w14:paraId="5D7A88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17" w:type="dxa"/>
            <w:vAlign w:val="center"/>
          </w:tcPr>
          <w:p w14:paraId="5F4C7772">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12.1.1</w:t>
            </w:r>
          </w:p>
        </w:tc>
        <w:tc>
          <w:tcPr>
            <w:tcW w:w="7787" w:type="dxa"/>
            <w:vAlign w:val="center"/>
          </w:tcPr>
          <w:p w14:paraId="25CFD3F0">
            <w:pPr>
              <w:snapToGrid w:val="0"/>
              <w:spacing w:line="440" w:lineRule="exact"/>
              <w:jc w:val="left"/>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资格证明文件</w:t>
            </w:r>
          </w:p>
          <w:p w14:paraId="3CFC652E">
            <w:pPr>
              <w:keepNext w:val="0"/>
              <w:keepLines w:val="0"/>
              <w:pageBreakBefore w:val="0"/>
              <w:widowControl w:val="0"/>
              <w:kinsoku/>
              <w:wordWrap/>
              <w:overflowPunct/>
              <w:topLinePunct w:val="0"/>
              <w:autoSpaceDE/>
              <w:autoSpaceDN/>
              <w:bidi w:val="0"/>
              <w:adjustRightInd/>
              <w:spacing w:line="440" w:lineRule="exact"/>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1.供应商为法人或者其他组织的提供其营业执照等证明文件（如营业执照或者事业单位法人证书或者执业许可证等），供应商为自然人的提供其身份证复印件；</w:t>
            </w:r>
            <w:r>
              <w:rPr>
                <w:rFonts w:hint="eastAsia" w:ascii="宋体" w:hAnsi="宋体" w:eastAsia="宋体" w:cs="宋体"/>
                <w:b/>
                <w:bCs/>
                <w:color w:val="auto"/>
                <w:sz w:val="21"/>
                <w:szCs w:val="21"/>
                <w:highlight w:val="none"/>
              </w:rPr>
              <w:t>（必须提供，否则响应文件按无效响应处理）</w:t>
            </w:r>
          </w:p>
          <w:p w14:paraId="74E8B6CC">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2.供应商依法缴纳税收的相关材料（</w:t>
            </w:r>
            <w:r>
              <w:rPr>
                <w:rFonts w:hint="eastAsia" w:ascii="宋体" w:hAnsi="宋体" w:eastAsia="宋体" w:cs="宋体"/>
                <w:color w:val="auto"/>
                <w:sz w:val="21"/>
                <w:szCs w:val="21"/>
                <w:highlight w:val="none"/>
                <w:u w:val="single"/>
              </w:rPr>
              <w:t>202</w:t>
            </w:r>
            <w:r>
              <w:rPr>
                <w:rFonts w:hint="default" w:ascii="宋体" w:hAnsi="宋体" w:eastAsia="宋体" w:cs="宋体"/>
                <w:color w:val="auto"/>
                <w:sz w:val="21"/>
                <w:szCs w:val="21"/>
                <w:highlight w:val="none"/>
                <w:u w:val="single"/>
                <w:lang w:val="en-US" w:eastAsia="zh-CN"/>
              </w:rPr>
              <w:t>4</w:t>
            </w:r>
            <w:r>
              <w:rPr>
                <w:rFonts w:hint="eastAsia" w:ascii="宋体" w:hAnsi="宋体" w:eastAsia="宋体" w:cs="宋体"/>
                <w:color w:val="auto"/>
                <w:sz w:val="21"/>
                <w:szCs w:val="21"/>
                <w:highlight w:val="none"/>
              </w:rPr>
              <w:t>年</w:t>
            </w:r>
            <w:r>
              <w:rPr>
                <w:rFonts w:hint="default" w:ascii="宋体" w:hAnsi="宋体" w:eastAsia="宋体" w:cs="宋体"/>
                <w:color w:val="auto"/>
                <w:sz w:val="21"/>
                <w:szCs w:val="21"/>
                <w:highlight w:val="none"/>
                <w:u w:val="single"/>
                <w:lang w:val="en-US" w:eastAsia="zh-CN"/>
              </w:rPr>
              <w:t>11</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lang w:eastAsia="zh-CN"/>
              </w:rPr>
              <w:t>至</w:t>
            </w:r>
            <w:r>
              <w:rPr>
                <w:rFonts w:hint="eastAsia" w:ascii="宋体" w:hAnsi="宋体" w:eastAsia="宋体" w:cs="宋体"/>
                <w:color w:val="auto"/>
                <w:sz w:val="21"/>
                <w:szCs w:val="21"/>
                <w:highlight w:val="none"/>
                <w:lang w:bidi="ar-SA"/>
              </w:rPr>
              <w:t>磋商截止之日前</w:t>
            </w:r>
            <w:r>
              <w:rPr>
                <w:rFonts w:hint="eastAsia" w:ascii="宋体" w:hAnsi="宋体" w:cs="宋体"/>
                <w:color w:val="auto"/>
                <w:sz w:val="21"/>
                <w:szCs w:val="21"/>
                <w:highlight w:val="none"/>
                <w:lang w:eastAsia="zh-CN" w:bidi="ar-SA"/>
              </w:rPr>
              <w:t>任意</w:t>
            </w:r>
            <w:r>
              <w:rPr>
                <w:rFonts w:hint="eastAsia" w:ascii="宋体" w:hAnsi="宋体" w:eastAsia="宋体" w:cs="宋体"/>
                <w:color w:val="auto"/>
                <w:sz w:val="21"/>
                <w:szCs w:val="21"/>
                <w:highlight w:val="none"/>
                <w:u w:val="single"/>
              </w:rPr>
              <w:t>3</w:t>
            </w:r>
            <w:r>
              <w:rPr>
                <w:rFonts w:hint="eastAsia" w:ascii="宋体" w:hAnsi="宋体" w:eastAsia="宋体" w:cs="宋体"/>
                <w:color w:val="auto"/>
                <w:sz w:val="21"/>
                <w:szCs w:val="21"/>
                <w:highlight w:val="none"/>
              </w:rPr>
              <w:t>个月的依法缴纳税收的凭据复印件；依法免税的供应商，必须提供相应文件证明其依法免税；零纳税的提供税务部门零纳税证明。从取得营业执照时间起到首次响应文件提交截止时间为止不足要求月数的，只需提供从取得营业执照起的依法缴纳税收相应证明文件）；（</w:t>
            </w:r>
            <w:r>
              <w:rPr>
                <w:rFonts w:hint="eastAsia" w:ascii="宋体" w:hAnsi="宋体" w:eastAsia="宋体" w:cs="宋体"/>
                <w:b/>
                <w:color w:val="auto"/>
                <w:sz w:val="21"/>
                <w:szCs w:val="21"/>
                <w:highlight w:val="none"/>
              </w:rPr>
              <w:t>必须提供，否则响应文件按无效响应处理</w:t>
            </w:r>
            <w:r>
              <w:rPr>
                <w:rFonts w:hint="eastAsia" w:ascii="宋体" w:hAnsi="宋体" w:eastAsia="宋体" w:cs="宋体"/>
                <w:color w:val="auto"/>
                <w:sz w:val="21"/>
                <w:szCs w:val="21"/>
                <w:highlight w:val="none"/>
              </w:rPr>
              <w:t>）</w:t>
            </w:r>
          </w:p>
          <w:p w14:paraId="1361B5D5">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3.供应商依法缴纳社会保障资金的相关材料[</w:t>
            </w:r>
            <w:r>
              <w:rPr>
                <w:rFonts w:hint="eastAsia" w:ascii="宋体" w:hAnsi="宋体" w:eastAsia="宋体" w:cs="宋体"/>
                <w:color w:val="auto"/>
                <w:sz w:val="21"/>
                <w:szCs w:val="21"/>
                <w:highlight w:val="none"/>
                <w:u w:val="single"/>
              </w:rPr>
              <w:t>202</w:t>
            </w:r>
            <w:r>
              <w:rPr>
                <w:rFonts w:hint="default" w:ascii="宋体" w:hAnsi="宋体" w:eastAsia="宋体" w:cs="宋体"/>
                <w:color w:val="auto"/>
                <w:sz w:val="21"/>
                <w:szCs w:val="21"/>
                <w:highlight w:val="none"/>
                <w:u w:val="single"/>
                <w:lang w:val="en-US" w:eastAsia="zh-CN"/>
              </w:rPr>
              <w:t>4</w:t>
            </w:r>
            <w:r>
              <w:rPr>
                <w:rFonts w:hint="eastAsia" w:ascii="宋体" w:hAnsi="宋体" w:eastAsia="宋体" w:cs="宋体"/>
                <w:color w:val="auto"/>
                <w:sz w:val="21"/>
                <w:szCs w:val="21"/>
                <w:highlight w:val="none"/>
              </w:rPr>
              <w:t>年</w:t>
            </w:r>
            <w:r>
              <w:rPr>
                <w:rFonts w:hint="default" w:ascii="宋体" w:hAnsi="宋体" w:eastAsia="宋体" w:cs="宋体"/>
                <w:color w:val="auto"/>
                <w:sz w:val="21"/>
                <w:szCs w:val="21"/>
                <w:highlight w:val="none"/>
                <w:u w:val="single"/>
                <w:lang w:val="en-US" w:eastAsia="zh-CN"/>
              </w:rPr>
              <w:t>11</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lang w:eastAsia="zh-CN"/>
              </w:rPr>
              <w:t>至</w:t>
            </w:r>
            <w:r>
              <w:rPr>
                <w:rFonts w:hint="eastAsia" w:ascii="宋体" w:hAnsi="宋体" w:eastAsia="宋体" w:cs="宋体"/>
                <w:color w:val="auto"/>
                <w:sz w:val="21"/>
                <w:szCs w:val="21"/>
                <w:highlight w:val="none"/>
                <w:lang w:bidi="ar-SA"/>
              </w:rPr>
              <w:t>磋商截止之日前</w:t>
            </w:r>
            <w:r>
              <w:rPr>
                <w:rFonts w:hint="eastAsia" w:ascii="宋体" w:hAnsi="宋体" w:cs="宋体"/>
                <w:color w:val="auto"/>
                <w:sz w:val="21"/>
                <w:szCs w:val="21"/>
                <w:highlight w:val="none"/>
                <w:lang w:eastAsia="zh-CN" w:bidi="ar-SA"/>
              </w:rPr>
              <w:t>任意</w:t>
            </w:r>
            <w:r>
              <w:rPr>
                <w:rFonts w:hint="eastAsia" w:ascii="宋体" w:hAnsi="宋体" w:eastAsia="宋体" w:cs="宋体"/>
                <w:color w:val="auto"/>
                <w:sz w:val="21"/>
                <w:szCs w:val="21"/>
                <w:highlight w:val="none"/>
                <w:u w:val="single"/>
              </w:rPr>
              <w:t>3</w:t>
            </w:r>
            <w:r>
              <w:rPr>
                <w:rFonts w:hint="eastAsia" w:ascii="宋体" w:hAnsi="宋体" w:eastAsia="宋体" w:cs="宋体"/>
                <w:color w:val="auto"/>
                <w:sz w:val="21"/>
                <w:szCs w:val="21"/>
                <w:highlight w:val="none"/>
              </w:rPr>
              <w:t>个月的依法缴纳社会保障资金的缴费凭证（专用收据、社会保险缴纳清单或社保证明）复印件；依法不需要缴纳社会保障资金的供应商，必须提供相应文件证明不需要缴纳社会保障资金；从取得营业执照时间起到首次响应文件提交截止时间为止不足要求月数的只需提供从取得营业执照起的依法缴纳社会保障资金的相应证明文件]；（</w:t>
            </w:r>
            <w:r>
              <w:rPr>
                <w:rFonts w:hint="eastAsia" w:ascii="宋体" w:hAnsi="宋体" w:eastAsia="宋体" w:cs="宋体"/>
                <w:b/>
                <w:color w:val="auto"/>
                <w:sz w:val="21"/>
                <w:szCs w:val="21"/>
                <w:highlight w:val="none"/>
              </w:rPr>
              <w:t>必须提供，否则响应文件按无效响应处理</w:t>
            </w:r>
            <w:r>
              <w:rPr>
                <w:rFonts w:hint="eastAsia" w:ascii="宋体" w:hAnsi="宋体" w:eastAsia="宋体" w:cs="宋体"/>
                <w:color w:val="auto"/>
                <w:sz w:val="21"/>
                <w:szCs w:val="21"/>
                <w:highlight w:val="none"/>
              </w:rPr>
              <w:t>）</w:t>
            </w:r>
          </w:p>
          <w:p w14:paraId="3A31A0A9">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供应商财务状况材料[提供202</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年度或202</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年度的财务报表或者银行出具的资信证明；新成立公司提供公司成立日之后次月起到响应文件递交截止前任意一个月的财务报表复印件]。（</w:t>
            </w:r>
            <w:r>
              <w:rPr>
                <w:rFonts w:hint="eastAsia" w:ascii="宋体" w:hAnsi="宋体" w:eastAsia="宋体" w:cs="宋体"/>
                <w:b/>
                <w:color w:val="auto"/>
                <w:sz w:val="21"/>
                <w:szCs w:val="21"/>
                <w:highlight w:val="none"/>
              </w:rPr>
              <w:t>必须提供，否则作无效响应处理</w:t>
            </w:r>
            <w:r>
              <w:rPr>
                <w:rFonts w:hint="eastAsia" w:ascii="宋体" w:hAnsi="宋体" w:eastAsia="宋体" w:cs="宋体"/>
                <w:color w:val="auto"/>
                <w:sz w:val="21"/>
                <w:szCs w:val="21"/>
                <w:highlight w:val="none"/>
              </w:rPr>
              <w:t>）</w:t>
            </w:r>
          </w:p>
          <w:p w14:paraId="42F73C81">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5.供应商直接控股、管理关系信息表（格式后附）；（</w:t>
            </w:r>
            <w:r>
              <w:rPr>
                <w:rFonts w:hint="eastAsia" w:ascii="宋体" w:hAnsi="宋体" w:eastAsia="宋体" w:cs="宋体"/>
                <w:b/>
                <w:color w:val="auto"/>
                <w:sz w:val="21"/>
                <w:szCs w:val="21"/>
                <w:highlight w:val="none"/>
              </w:rPr>
              <w:t>必须提供，否则响应文件按无效响应处理</w:t>
            </w:r>
            <w:r>
              <w:rPr>
                <w:rFonts w:hint="eastAsia" w:ascii="宋体" w:hAnsi="宋体" w:eastAsia="宋体" w:cs="宋体"/>
                <w:color w:val="auto"/>
                <w:sz w:val="21"/>
                <w:szCs w:val="21"/>
                <w:highlight w:val="none"/>
              </w:rPr>
              <w:t>）</w:t>
            </w:r>
          </w:p>
          <w:p w14:paraId="6CC18B98">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6.竞标声明（格式后附）；（</w:t>
            </w:r>
            <w:r>
              <w:rPr>
                <w:rFonts w:hint="eastAsia" w:ascii="宋体" w:hAnsi="宋体" w:eastAsia="宋体" w:cs="宋体"/>
                <w:b/>
                <w:color w:val="auto"/>
                <w:sz w:val="21"/>
                <w:szCs w:val="21"/>
                <w:highlight w:val="none"/>
              </w:rPr>
              <w:t>必须提供，否则响应文件按无效响应处理</w:t>
            </w:r>
            <w:r>
              <w:rPr>
                <w:rFonts w:hint="eastAsia" w:ascii="宋体" w:hAnsi="宋体" w:eastAsia="宋体" w:cs="宋体"/>
                <w:color w:val="auto"/>
                <w:sz w:val="21"/>
                <w:szCs w:val="21"/>
                <w:highlight w:val="none"/>
              </w:rPr>
              <w:t>）</w:t>
            </w:r>
          </w:p>
          <w:p w14:paraId="08590ED9">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7.特定资格要求：</w:t>
            </w:r>
            <w:r>
              <w:rPr>
                <w:rFonts w:hint="eastAsia" w:ascii="宋体" w:hAnsi="宋体"/>
                <w:b/>
                <w:bCs/>
                <w:color w:val="auto"/>
                <w:szCs w:val="21"/>
                <w:highlight w:val="none"/>
              </w:rPr>
              <w:t>具备有效的省级（自治区、直辖市）财政部门颁发的《会计师事务所执业证书》或《会计师事务所(分所)执业证书》</w:t>
            </w:r>
            <w:r>
              <w:rPr>
                <w:rFonts w:hint="eastAsia" w:ascii="宋体" w:hAnsi="宋体" w:eastAsia="宋体" w:cs="宋体"/>
                <w:b w:val="0"/>
                <w:bCs w:val="0"/>
                <w:color w:val="auto"/>
                <w:sz w:val="21"/>
                <w:szCs w:val="21"/>
                <w:highlight w:val="none"/>
                <w:lang w:eastAsia="zh-CN"/>
              </w:rPr>
              <w:t>复印件</w:t>
            </w:r>
            <w:r>
              <w:rPr>
                <w:rFonts w:hint="eastAsia" w:ascii="宋体" w:hAnsi="宋体" w:eastAsia="宋体" w:cs="宋体"/>
                <w:color w:val="auto"/>
                <w:sz w:val="21"/>
                <w:szCs w:val="21"/>
                <w:highlight w:val="none"/>
              </w:rPr>
              <w:t>（</w:t>
            </w:r>
            <w:r>
              <w:rPr>
                <w:rFonts w:hint="eastAsia" w:ascii="宋体" w:hAnsi="宋体" w:eastAsia="宋体" w:cs="宋体"/>
                <w:b/>
                <w:bCs/>
                <w:color w:val="auto"/>
                <w:sz w:val="21"/>
                <w:szCs w:val="21"/>
                <w:highlight w:val="none"/>
              </w:rPr>
              <w:t>必须提供，否则响应文件按无效响应处理</w:t>
            </w:r>
            <w:r>
              <w:rPr>
                <w:rFonts w:hint="eastAsia" w:ascii="宋体" w:hAnsi="宋体" w:eastAsia="宋体" w:cs="宋体"/>
                <w:color w:val="auto"/>
                <w:sz w:val="21"/>
                <w:szCs w:val="21"/>
                <w:highlight w:val="none"/>
              </w:rPr>
              <w:t>）</w:t>
            </w:r>
          </w:p>
          <w:p w14:paraId="3984CD2C">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8.除磋商文件规定必须提供以外，供应商认为需要提供的其他证明材料；</w:t>
            </w:r>
          </w:p>
          <w:p w14:paraId="30D0BB09">
            <w:pPr>
              <w:snapToGrid w:val="0"/>
              <w:spacing w:line="440" w:lineRule="exact"/>
              <w:jc w:val="left"/>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注：</w:t>
            </w:r>
          </w:p>
          <w:p w14:paraId="4ACCFD04">
            <w:pPr>
              <w:snapToGrid w:val="0"/>
              <w:spacing w:line="440" w:lineRule="exact"/>
              <w:ind w:firstLine="413" w:firstLineChars="196"/>
              <w:jc w:val="left"/>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1.以上标明“必须提供”的材料属于复印件的，必须加盖供应商公章，否则响应文件按无效响应处理。</w:t>
            </w:r>
          </w:p>
          <w:p w14:paraId="54471A6B">
            <w:pPr>
              <w:snapToGrid w:val="0"/>
              <w:spacing w:line="440" w:lineRule="exact"/>
              <w:ind w:firstLine="422" w:firstLineChars="200"/>
              <w:jc w:val="left"/>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2.竞标声明必须由法定代表人在规定签章处签字并加盖供应商公章，否则响应文件按无效响应处理。</w:t>
            </w:r>
          </w:p>
          <w:p w14:paraId="16DF48C4">
            <w:pPr>
              <w:snapToGrid w:val="0"/>
              <w:spacing w:line="440" w:lineRule="exact"/>
              <w:ind w:firstLine="422" w:firstLineChars="200"/>
              <w:jc w:val="left"/>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3.供应商直接控股、管理关系信息表必须由法定代表人或者委托代理人在规定签章处签字并加盖供应商公章，否则响应文件按无效响应处理。</w:t>
            </w:r>
          </w:p>
        </w:tc>
      </w:tr>
      <w:tr w14:paraId="54A20C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17" w:type="dxa"/>
            <w:vAlign w:val="center"/>
          </w:tcPr>
          <w:p w14:paraId="37C85EDE">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12.1.2</w:t>
            </w:r>
          </w:p>
        </w:tc>
        <w:tc>
          <w:tcPr>
            <w:tcW w:w="7787" w:type="dxa"/>
            <w:vAlign w:val="center"/>
          </w:tcPr>
          <w:p w14:paraId="77979FAC">
            <w:pPr>
              <w:spacing w:line="440" w:lineRule="exact"/>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报价商务技术文件</w:t>
            </w:r>
          </w:p>
          <w:p w14:paraId="7703F984">
            <w:pPr>
              <w:keepNext w:val="0"/>
              <w:keepLines w:val="0"/>
              <w:pageBreakBefore w:val="0"/>
              <w:widowControl w:val="0"/>
              <w:kinsoku/>
              <w:wordWrap/>
              <w:overflowPunct/>
              <w:topLinePunct w:val="0"/>
              <w:autoSpaceDE/>
              <w:autoSpaceDN/>
              <w:bidi w:val="0"/>
              <w:adjustRightInd/>
              <w:spacing w:line="440" w:lineRule="exact"/>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无串通竞标行为的承诺函、供应商廉政承诺（格式后附）；（</w:t>
            </w:r>
            <w:r>
              <w:rPr>
                <w:rFonts w:hint="eastAsia" w:ascii="宋体" w:hAnsi="宋体" w:eastAsia="宋体" w:cs="宋体"/>
                <w:b/>
                <w:color w:val="auto"/>
                <w:sz w:val="21"/>
                <w:szCs w:val="21"/>
                <w:highlight w:val="none"/>
              </w:rPr>
              <w:t>必须提供，否则响应文件按无效响应处理</w:t>
            </w:r>
            <w:r>
              <w:rPr>
                <w:rFonts w:hint="eastAsia" w:ascii="宋体" w:hAnsi="宋体" w:eastAsia="宋体" w:cs="宋体"/>
                <w:color w:val="auto"/>
                <w:sz w:val="21"/>
                <w:szCs w:val="21"/>
                <w:highlight w:val="none"/>
              </w:rPr>
              <w:t>）</w:t>
            </w:r>
          </w:p>
          <w:p w14:paraId="5D770926">
            <w:pPr>
              <w:keepNext w:val="0"/>
              <w:keepLines w:val="0"/>
              <w:pageBreakBefore w:val="0"/>
              <w:widowControl w:val="0"/>
              <w:kinsoku/>
              <w:wordWrap/>
              <w:overflowPunct/>
              <w:topLinePunct w:val="0"/>
              <w:autoSpaceDE/>
              <w:autoSpaceDN/>
              <w:bidi w:val="0"/>
              <w:adjustRightInd/>
              <w:spacing w:line="440" w:lineRule="exact"/>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2.竞标报价表（格式后附）；（</w:t>
            </w:r>
            <w:r>
              <w:rPr>
                <w:rFonts w:hint="eastAsia" w:ascii="宋体" w:hAnsi="宋体" w:eastAsia="宋体" w:cs="宋体"/>
                <w:b/>
                <w:color w:val="auto"/>
                <w:sz w:val="21"/>
                <w:szCs w:val="21"/>
                <w:highlight w:val="none"/>
              </w:rPr>
              <w:t>必须提供，否则响应文件按无效响应处理</w:t>
            </w:r>
            <w:r>
              <w:rPr>
                <w:rFonts w:hint="eastAsia" w:ascii="宋体" w:hAnsi="宋体" w:eastAsia="宋体" w:cs="宋体"/>
                <w:color w:val="auto"/>
                <w:sz w:val="21"/>
                <w:szCs w:val="21"/>
                <w:highlight w:val="none"/>
              </w:rPr>
              <w:t>）</w:t>
            </w:r>
          </w:p>
          <w:p w14:paraId="4CB29B7F">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3.法定代表人身份证明书及法定代表人有效身份证正反面复印件（格式后附）；（</w:t>
            </w:r>
            <w:r>
              <w:rPr>
                <w:rFonts w:hint="eastAsia" w:ascii="宋体" w:hAnsi="宋体" w:eastAsia="宋体" w:cs="宋体"/>
                <w:b/>
                <w:bCs/>
                <w:color w:val="auto"/>
                <w:sz w:val="21"/>
                <w:szCs w:val="21"/>
                <w:highlight w:val="none"/>
              </w:rPr>
              <w:t>除自然人竞标外</w:t>
            </w:r>
            <w:r>
              <w:rPr>
                <w:rFonts w:hint="eastAsia" w:ascii="宋体" w:hAnsi="宋体" w:eastAsia="宋体" w:cs="宋体"/>
                <w:b/>
                <w:color w:val="auto"/>
                <w:sz w:val="21"/>
                <w:szCs w:val="21"/>
                <w:highlight w:val="none"/>
              </w:rPr>
              <w:t>必须提供，否则响应文件按无效响应处理</w:t>
            </w:r>
            <w:r>
              <w:rPr>
                <w:rFonts w:hint="eastAsia" w:ascii="宋体" w:hAnsi="宋体" w:eastAsia="宋体" w:cs="宋体"/>
                <w:color w:val="auto"/>
                <w:sz w:val="21"/>
                <w:szCs w:val="21"/>
                <w:highlight w:val="none"/>
              </w:rPr>
              <w:t>）</w:t>
            </w:r>
          </w:p>
          <w:p w14:paraId="64ACDC38">
            <w:pPr>
              <w:keepNext w:val="0"/>
              <w:keepLines w:val="0"/>
              <w:pageBreakBefore w:val="0"/>
              <w:widowControl w:val="0"/>
              <w:kinsoku/>
              <w:wordWrap/>
              <w:overflowPunct/>
              <w:topLinePunct w:val="0"/>
              <w:autoSpaceDE/>
              <w:autoSpaceDN/>
              <w:bidi w:val="0"/>
              <w:adjustRightInd/>
              <w:spacing w:line="440" w:lineRule="exact"/>
              <w:ind w:firstLine="420" w:firstLineChars="200"/>
              <w:textAlignment w:val="auto"/>
              <w:rPr>
                <w:rFonts w:hint="eastAsia" w:ascii="宋体" w:hAnsi="宋体" w:eastAsia="宋体" w:cs="宋体"/>
                <w:b/>
                <w:color w:val="auto"/>
                <w:sz w:val="21"/>
                <w:szCs w:val="21"/>
                <w:highlight w:val="none"/>
              </w:rPr>
            </w:pPr>
            <w:r>
              <w:rPr>
                <w:rFonts w:hint="eastAsia" w:ascii="宋体" w:hAnsi="宋体" w:eastAsia="宋体" w:cs="宋体"/>
                <w:color w:val="auto"/>
                <w:sz w:val="21"/>
                <w:szCs w:val="21"/>
                <w:highlight w:val="none"/>
              </w:rPr>
              <w:t>4.法定代表人授权委托书及委托代理人有效身份证正反面复印件（格式后附）；（</w:t>
            </w:r>
            <w:r>
              <w:rPr>
                <w:rFonts w:hint="eastAsia" w:ascii="宋体" w:hAnsi="宋体" w:eastAsia="宋体" w:cs="宋体"/>
                <w:b/>
                <w:color w:val="auto"/>
                <w:sz w:val="21"/>
                <w:szCs w:val="21"/>
                <w:highlight w:val="none"/>
              </w:rPr>
              <w:t>委托时必须提供，否则响应文件按无效响应处理</w:t>
            </w:r>
            <w:r>
              <w:rPr>
                <w:rFonts w:hint="eastAsia" w:ascii="宋体" w:hAnsi="宋体" w:eastAsia="宋体" w:cs="宋体"/>
                <w:color w:val="auto"/>
                <w:sz w:val="21"/>
                <w:szCs w:val="21"/>
                <w:highlight w:val="none"/>
              </w:rPr>
              <w:t>）</w:t>
            </w:r>
          </w:p>
          <w:p w14:paraId="49C397FB">
            <w:pPr>
              <w:keepNext w:val="0"/>
              <w:keepLines w:val="0"/>
              <w:pageBreakBefore w:val="0"/>
              <w:widowControl w:val="0"/>
              <w:kinsoku/>
              <w:wordWrap/>
              <w:overflowPunct/>
              <w:topLinePunct w:val="0"/>
              <w:autoSpaceDE/>
              <w:autoSpaceDN/>
              <w:bidi w:val="0"/>
              <w:adjustRightInd/>
              <w:spacing w:line="440" w:lineRule="exact"/>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5.磋商保证金提交凭证复印件；（</w:t>
            </w:r>
            <w:r>
              <w:rPr>
                <w:rFonts w:hint="eastAsia" w:ascii="宋体" w:hAnsi="宋体" w:eastAsia="宋体" w:cs="宋体"/>
                <w:b/>
                <w:color w:val="auto"/>
                <w:sz w:val="21"/>
                <w:szCs w:val="21"/>
                <w:highlight w:val="none"/>
              </w:rPr>
              <w:t>必须提供，否则响应文件按无效响应处理</w:t>
            </w:r>
            <w:r>
              <w:rPr>
                <w:rFonts w:hint="eastAsia" w:ascii="宋体" w:hAnsi="宋体" w:eastAsia="宋体" w:cs="宋体"/>
                <w:color w:val="auto"/>
                <w:sz w:val="21"/>
                <w:szCs w:val="21"/>
                <w:highlight w:val="none"/>
              </w:rPr>
              <w:t>）</w:t>
            </w:r>
          </w:p>
          <w:p w14:paraId="5CD9F50F">
            <w:pPr>
              <w:keepNext w:val="0"/>
              <w:keepLines w:val="0"/>
              <w:pageBreakBefore w:val="0"/>
              <w:widowControl w:val="0"/>
              <w:kinsoku/>
              <w:wordWrap/>
              <w:overflowPunct/>
              <w:topLinePunct w:val="0"/>
              <w:autoSpaceDE/>
              <w:autoSpaceDN/>
              <w:bidi w:val="0"/>
              <w:adjustRightInd/>
              <w:spacing w:line="440" w:lineRule="exact"/>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6.商务条款偏离表（格式后附）；（</w:t>
            </w:r>
            <w:r>
              <w:rPr>
                <w:rFonts w:hint="eastAsia" w:ascii="宋体" w:hAnsi="宋体" w:eastAsia="宋体" w:cs="宋体"/>
                <w:b/>
                <w:color w:val="auto"/>
                <w:sz w:val="21"/>
                <w:szCs w:val="21"/>
                <w:highlight w:val="none"/>
              </w:rPr>
              <w:t>必须提供，否则响应文件按无效响应处理</w:t>
            </w:r>
            <w:r>
              <w:rPr>
                <w:rFonts w:hint="eastAsia" w:ascii="宋体" w:hAnsi="宋体" w:eastAsia="宋体" w:cs="宋体"/>
                <w:color w:val="auto"/>
                <w:sz w:val="21"/>
                <w:szCs w:val="21"/>
                <w:highlight w:val="none"/>
              </w:rPr>
              <w:t>）</w:t>
            </w:r>
          </w:p>
          <w:p w14:paraId="4A1EEE7D">
            <w:pPr>
              <w:keepNext w:val="0"/>
              <w:keepLines w:val="0"/>
              <w:pageBreakBefore w:val="0"/>
              <w:widowControl w:val="0"/>
              <w:kinsoku/>
              <w:wordWrap/>
              <w:overflowPunct/>
              <w:topLinePunct w:val="0"/>
              <w:autoSpaceDE/>
              <w:autoSpaceDN/>
              <w:bidi w:val="0"/>
              <w:adjustRightInd/>
              <w:spacing w:line="440" w:lineRule="exact"/>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7.实施方案；（</w:t>
            </w:r>
            <w:r>
              <w:rPr>
                <w:rFonts w:hint="eastAsia" w:ascii="宋体" w:hAnsi="宋体" w:eastAsia="宋体" w:cs="宋体"/>
                <w:b/>
                <w:color w:val="auto"/>
                <w:sz w:val="21"/>
                <w:szCs w:val="21"/>
                <w:highlight w:val="none"/>
              </w:rPr>
              <w:t>必须提供，否则响应文件按无效响应处理</w:t>
            </w:r>
            <w:r>
              <w:rPr>
                <w:rFonts w:hint="eastAsia" w:ascii="宋体" w:hAnsi="宋体" w:eastAsia="宋体" w:cs="宋体"/>
                <w:color w:val="auto"/>
                <w:sz w:val="21"/>
                <w:szCs w:val="21"/>
                <w:highlight w:val="none"/>
              </w:rPr>
              <w:t>）</w:t>
            </w:r>
          </w:p>
          <w:p w14:paraId="42681D39">
            <w:pPr>
              <w:keepNext w:val="0"/>
              <w:keepLines w:val="0"/>
              <w:pageBreakBefore w:val="0"/>
              <w:widowControl w:val="0"/>
              <w:kinsoku/>
              <w:wordWrap/>
              <w:overflowPunct/>
              <w:topLinePunct w:val="0"/>
              <w:autoSpaceDE/>
              <w:autoSpaceDN/>
              <w:bidi w:val="0"/>
              <w:adjustRightInd/>
              <w:spacing w:line="440" w:lineRule="exact"/>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8.技术需求偏离表（格式后附）；（</w:t>
            </w:r>
            <w:r>
              <w:rPr>
                <w:rFonts w:hint="eastAsia" w:ascii="宋体" w:hAnsi="宋体" w:eastAsia="宋体" w:cs="宋体"/>
                <w:b/>
                <w:color w:val="auto"/>
                <w:sz w:val="21"/>
                <w:szCs w:val="21"/>
                <w:highlight w:val="none"/>
              </w:rPr>
              <w:t>必须提供，否则响应文件按无效响应处理</w:t>
            </w:r>
            <w:r>
              <w:rPr>
                <w:rFonts w:hint="eastAsia" w:ascii="宋体" w:hAnsi="宋体" w:eastAsia="宋体" w:cs="宋体"/>
                <w:color w:val="auto"/>
                <w:sz w:val="21"/>
                <w:szCs w:val="21"/>
                <w:highlight w:val="none"/>
              </w:rPr>
              <w:t>）</w:t>
            </w:r>
          </w:p>
          <w:p w14:paraId="450D029A">
            <w:pPr>
              <w:keepNext w:val="0"/>
              <w:keepLines w:val="0"/>
              <w:pageBreakBefore w:val="0"/>
              <w:widowControl w:val="0"/>
              <w:kinsoku/>
              <w:wordWrap/>
              <w:overflowPunct/>
              <w:topLinePunct w:val="0"/>
              <w:autoSpaceDE/>
              <w:autoSpaceDN/>
              <w:bidi w:val="0"/>
              <w:adjustRightInd/>
              <w:spacing w:line="440" w:lineRule="exact"/>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9.项目实施人员一览表（格式后附）；（</w:t>
            </w:r>
            <w:r>
              <w:rPr>
                <w:rFonts w:hint="eastAsia" w:ascii="宋体" w:hAnsi="宋体" w:eastAsia="宋体" w:cs="宋体"/>
                <w:b/>
                <w:color w:val="auto"/>
                <w:sz w:val="21"/>
                <w:szCs w:val="21"/>
                <w:highlight w:val="none"/>
              </w:rPr>
              <w:t>必须提供，否则响应文件按无效响应处理</w:t>
            </w:r>
            <w:r>
              <w:rPr>
                <w:rFonts w:hint="eastAsia" w:ascii="宋体" w:hAnsi="宋体" w:eastAsia="宋体" w:cs="宋体"/>
                <w:color w:val="auto"/>
                <w:sz w:val="21"/>
                <w:szCs w:val="21"/>
                <w:highlight w:val="none"/>
              </w:rPr>
              <w:t xml:space="preserve">） </w:t>
            </w:r>
          </w:p>
          <w:p w14:paraId="1120F93E">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10.业绩证明文件（格式后附）；（如有请提供）</w:t>
            </w:r>
          </w:p>
          <w:p w14:paraId="6450082A">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11.中小企业声明函或者残疾人福利性单位声明函或者供应商属于监狱企业的证明材料；（</w:t>
            </w:r>
            <w:r>
              <w:rPr>
                <w:rFonts w:hint="eastAsia" w:ascii="宋体" w:hAnsi="宋体" w:eastAsia="宋体" w:cs="宋体"/>
                <w:b/>
                <w:color w:val="auto"/>
                <w:sz w:val="21"/>
                <w:szCs w:val="21"/>
                <w:highlight w:val="none"/>
              </w:rPr>
              <w:t>如有请提供</w:t>
            </w:r>
            <w:r>
              <w:rPr>
                <w:rFonts w:hint="eastAsia" w:ascii="宋体" w:hAnsi="宋体" w:eastAsia="宋体" w:cs="宋体"/>
                <w:color w:val="auto"/>
                <w:sz w:val="21"/>
                <w:szCs w:val="21"/>
                <w:highlight w:val="none"/>
              </w:rPr>
              <w:t>）；</w:t>
            </w:r>
          </w:p>
          <w:p w14:paraId="528BE2F9">
            <w:pPr>
              <w:keepNext w:val="0"/>
              <w:keepLines w:val="0"/>
              <w:pageBreakBefore w:val="0"/>
              <w:widowControl w:val="0"/>
              <w:kinsoku/>
              <w:wordWrap/>
              <w:overflowPunct/>
              <w:topLinePunct w:val="0"/>
              <w:autoSpaceDE/>
              <w:autoSpaceDN/>
              <w:bidi w:val="0"/>
              <w:adjustRightInd/>
              <w:spacing w:line="440" w:lineRule="exact"/>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12.对应采购需求的技术需求、商务条款提供的其他文件资料；</w:t>
            </w:r>
          </w:p>
          <w:p w14:paraId="7589A00B">
            <w:pPr>
              <w:keepNext w:val="0"/>
              <w:keepLines w:val="0"/>
              <w:pageBreakBefore w:val="0"/>
              <w:widowControl w:val="0"/>
              <w:kinsoku/>
              <w:wordWrap/>
              <w:overflowPunct/>
              <w:topLinePunct w:val="0"/>
              <w:autoSpaceDE/>
              <w:autoSpaceDN/>
              <w:bidi w:val="0"/>
              <w:adjustRightInd/>
              <w:spacing w:line="440" w:lineRule="exact"/>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13.供应商认为需要提供的其他有关资料。</w:t>
            </w:r>
          </w:p>
          <w:p w14:paraId="1DD970E1">
            <w:pPr>
              <w:snapToGrid w:val="0"/>
              <w:spacing w:line="440" w:lineRule="exact"/>
              <w:jc w:val="left"/>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 xml:space="preserve">注： </w:t>
            </w:r>
          </w:p>
          <w:p w14:paraId="659A14C5">
            <w:pPr>
              <w:snapToGrid w:val="0"/>
              <w:spacing w:line="440" w:lineRule="exact"/>
              <w:ind w:firstLine="413" w:firstLineChars="196"/>
              <w:jc w:val="left"/>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1.法定代表人授权委托书必须由法定代表人及委托代理人签字，并加盖供应商公章，否则响应文件按无效响应处理。其</w:t>
            </w:r>
            <w:r>
              <w:rPr>
                <w:rFonts w:hint="eastAsia" w:ascii="宋体" w:hAnsi="宋体" w:eastAsia="宋体" w:cs="宋体"/>
                <w:b/>
                <w:bCs/>
                <w:color w:val="auto"/>
                <w:sz w:val="21"/>
                <w:szCs w:val="21"/>
                <w:highlight w:val="none"/>
              </w:rPr>
              <w:t>他报价商务技术文件必须按采购文件“第五章 响应文件格式”要求，在规定签字、盖章处逐一签字和加盖供应商公章，</w:t>
            </w:r>
            <w:r>
              <w:rPr>
                <w:rFonts w:hint="eastAsia" w:ascii="宋体" w:hAnsi="宋体" w:eastAsia="宋体" w:cs="宋体"/>
                <w:b/>
                <w:color w:val="auto"/>
                <w:sz w:val="21"/>
                <w:szCs w:val="21"/>
                <w:highlight w:val="none"/>
              </w:rPr>
              <w:t>否则响应文件按无效响应处理。</w:t>
            </w:r>
          </w:p>
          <w:p w14:paraId="4DE50B44">
            <w:pPr>
              <w:spacing w:line="440" w:lineRule="exact"/>
              <w:ind w:firstLine="413" w:firstLineChars="196"/>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2.以上标明“必须提供”的材料属于复印件的，必须加盖供应商公章，否则响应文件按无效响应处理。</w:t>
            </w:r>
          </w:p>
          <w:p w14:paraId="1BC5773F">
            <w:pPr>
              <w:spacing w:line="440" w:lineRule="exact"/>
              <w:ind w:firstLine="413" w:firstLineChars="196"/>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3.以上材料未附格式的，由供应商自行拟定。</w:t>
            </w:r>
          </w:p>
        </w:tc>
      </w:tr>
      <w:tr w14:paraId="033722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17" w:type="dxa"/>
            <w:vAlign w:val="center"/>
          </w:tcPr>
          <w:p w14:paraId="7D4B752B">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12.2</w:t>
            </w:r>
          </w:p>
        </w:tc>
        <w:tc>
          <w:tcPr>
            <w:tcW w:w="7787" w:type="dxa"/>
            <w:vAlign w:val="center"/>
          </w:tcPr>
          <w:p w14:paraId="522ECC13">
            <w:pPr>
              <w:snapToGrid w:val="0"/>
              <w:spacing w:line="44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响应文件电子版。供应商在递交响应文件时，同时递交响应文件电子版。</w:t>
            </w:r>
          </w:p>
          <w:p w14:paraId="10B0701E">
            <w:pPr>
              <w:snapToGrid w:val="0"/>
              <w:spacing w:line="44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1.响应文件电子版内容：与纸质响应文件全部内容一致。</w:t>
            </w:r>
          </w:p>
          <w:p w14:paraId="31D7D6ED">
            <w:pPr>
              <w:snapToGrid w:val="0"/>
              <w:spacing w:line="44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2.响应文件电子版形式：可编辑的word文档格式1份和已签字盖章的响应文件正本的扫描件（PDF格式）1份。</w:t>
            </w:r>
          </w:p>
          <w:p w14:paraId="45FFD3B7">
            <w:pPr>
              <w:snapToGrid w:val="0"/>
              <w:spacing w:line="44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3.响应文件电子版密封方式：响应文件电子版光盘（或者U盘）与纸质版响应文件一并装入响应文件袋中。</w:t>
            </w:r>
          </w:p>
        </w:tc>
      </w:tr>
      <w:tr w14:paraId="2166F5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17" w:type="dxa"/>
            <w:vAlign w:val="center"/>
          </w:tcPr>
          <w:p w14:paraId="6F106A09">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15.2</w:t>
            </w:r>
          </w:p>
        </w:tc>
        <w:tc>
          <w:tcPr>
            <w:tcW w:w="7787" w:type="dxa"/>
            <w:vAlign w:val="center"/>
          </w:tcPr>
          <w:p w14:paraId="4053FD18">
            <w:pPr>
              <w:snapToGrid w:val="0"/>
              <w:spacing w:line="440" w:lineRule="exact"/>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1.供应商必须就所投项目的全部内容作完整唯一报价，漏项报价的或有选择的或有条件的报价，其报价将视为无效。</w:t>
            </w:r>
          </w:p>
          <w:p w14:paraId="5B09CFB3">
            <w:pPr>
              <w:snapToGrid w:val="0"/>
              <w:spacing w:line="440" w:lineRule="exact"/>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竞标报价</w:t>
            </w:r>
            <w:r>
              <w:rPr>
                <w:rFonts w:hint="eastAsia" w:ascii="宋体" w:hAnsi="宋体"/>
                <w:color w:val="auto"/>
                <w:szCs w:val="21"/>
                <w:highlight w:val="none"/>
              </w:rPr>
              <w:t>是履行合同的最终价格，</w:t>
            </w:r>
            <w:r>
              <w:rPr>
                <w:rFonts w:hint="eastAsia" w:ascii="宋体" w:hAnsi="宋体" w:cs="宋体"/>
                <w:color w:val="auto"/>
                <w:szCs w:val="21"/>
                <w:highlight w:val="none"/>
              </w:rPr>
              <w:t>必须</w:t>
            </w:r>
            <w:r>
              <w:rPr>
                <w:rFonts w:hint="default"/>
                <w:color w:val="auto"/>
                <w:highlight w:val="none"/>
                <w:lang w:eastAsia="zh-CN"/>
              </w:rPr>
              <w:t>包</w:t>
            </w:r>
            <w:r>
              <w:rPr>
                <w:rFonts w:hint="default"/>
                <w:color w:val="auto"/>
                <w:highlight w:val="none"/>
              </w:rPr>
              <w:t>含</w:t>
            </w:r>
            <w:r>
              <w:rPr>
                <w:rFonts w:hint="default"/>
                <w:color w:val="auto"/>
                <w:highlight w:val="none"/>
                <w:lang w:eastAsia="zh-CN"/>
              </w:rPr>
              <w:t>但不限于</w:t>
            </w:r>
            <w:r>
              <w:rPr>
                <w:rFonts w:hint="default"/>
                <w:color w:val="auto"/>
                <w:highlight w:val="none"/>
              </w:rPr>
              <w:t>工资、住宿费、差旅费、餐费</w:t>
            </w:r>
            <w:r>
              <w:rPr>
                <w:rFonts w:hint="default"/>
                <w:color w:val="auto"/>
                <w:highlight w:val="none"/>
                <w:lang w:eastAsia="zh-CN"/>
              </w:rPr>
              <w:t>、税费、保险等供应商全部费用</w:t>
            </w:r>
            <w:r>
              <w:rPr>
                <w:rFonts w:hint="default"/>
                <w:color w:val="auto"/>
                <w:highlight w:val="none"/>
              </w:rPr>
              <w:t>，在合同实施期间，采购人将不予支付协审服务没有列入的项目费用，并认为此项目的费用已包括在</w:t>
            </w:r>
            <w:r>
              <w:rPr>
                <w:rFonts w:hint="default"/>
                <w:color w:val="auto"/>
                <w:highlight w:val="none"/>
                <w:lang w:eastAsia="zh-CN"/>
              </w:rPr>
              <w:t>报</w:t>
            </w:r>
            <w:r>
              <w:rPr>
                <w:rFonts w:hint="default"/>
                <w:color w:val="auto"/>
                <w:highlight w:val="none"/>
              </w:rPr>
              <w:t>价中</w:t>
            </w:r>
            <w:r>
              <w:rPr>
                <w:rFonts w:hint="eastAsia"/>
                <w:color w:val="auto"/>
                <w:highlight w:val="none"/>
              </w:rPr>
              <w:t>，不再另做结算。供应商应加强派出人员安全管理，实施项目审计工作期间如出现审计人员人身、财产安全事故、损失等由供应商全部负责，采购单位不负任何责任。</w:t>
            </w:r>
          </w:p>
        </w:tc>
      </w:tr>
      <w:tr w14:paraId="4CF02B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17" w:type="dxa"/>
            <w:vAlign w:val="center"/>
          </w:tcPr>
          <w:p w14:paraId="464BA6A7">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16.2</w:t>
            </w:r>
          </w:p>
        </w:tc>
        <w:tc>
          <w:tcPr>
            <w:tcW w:w="7787" w:type="dxa"/>
            <w:vAlign w:val="center"/>
          </w:tcPr>
          <w:p w14:paraId="0D24ACF3">
            <w:pPr>
              <w:pStyle w:val="12"/>
              <w:widowControl w:val="0"/>
              <w:tabs>
                <w:tab w:val="clear" w:pos="454"/>
              </w:tabs>
              <w:snapToGrid w:val="0"/>
              <w:spacing w:afterLines="0" w:line="440" w:lineRule="exact"/>
              <w:ind w:left="283" w:hanging="283" w:hangingChars="135"/>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竞标有效期：自首次响应文件提交截止之日起</w:t>
            </w:r>
            <w:r>
              <w:rPr>
                <w:rFonts w:hint="eastAsia" w:ascii="宋体" w:hAnsi="宋体" w:eastAsia="宋体" w:cs="宋体"/>
                <w:color w:val="auto"/>
                <w:kern w:val="2"/>
                <w:sz w:val="21"/>
                <w:szCs w:val="21"/>
                <w:highlight w:val="none"/>
                <w:u w:val="single"/>
              </w:rPr>
              <w:t xml:space="preserve">  60 </w:t>
            </w:r>
            <w:r>
              <w:rPr>
                <w:rFonts w:hint="eastAsia" w:ascii="宋体" w:hAnsi="宋体" w:eastAsia="宋体" w:cs="宋体"/>
                <w:color w:val="auto"/>
                <w:kern w:val="2"/>
                <w:sz w:val="21"/>
                <w:szCs w:val="21"/>
                <w:highlight w:val="none"/>
              </w:rPr>
              <w:t>日。</w:t>
            </w:r>
          </w:p>
        </w:tc>
      </w:tr>
      <w:tr w14:paraId="1391D7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17" w:type="dxa"/>
            <w:vAlign w:val="center"/>
          </w:tcPr>
          <w:p w14:paraId="02FAA4A6">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17.1</w:t>
            </w:r>
          </w:p>
        </w:tc>
        <w:tc>
          <w:tcPr>
            <w:tcW w:w="7787" w:type="dxa"/>
            <w:vAlign w:val="center"/>
          </w:tcPr>
          <w:p w14:paraId="2AD604B3">
            <w:pPr>
              <w:snapToGrid w:val="0"/>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磋商保证金的交纳方式：详见竞争性磋商公告</w:t>
            </w:r>
          </w:p>
          <w:p w14:paraId="069D733B">
            <w:pPr>
              <w:snapToGrid w:val="0"/>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磋商保证金的金额：详见竞争性磋商公告。</w:t>
            </w:r>
          </w:p>
          <w:p w14:paraId="0F5B75DF">
            <w:pPr>
              <w:snapToGrid w:val="0"/>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相关要求：</w:t>
            </w:r>
          </w:p>
          <w:p w14:paraId="73A279B2">
            <w:pPr>
              <w:snapToGrid w:val="0"/>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1.磋商保证金采用银行转账交纳方式的，在首次响应文件提交截止时间前交至采购代理机构指定账户并且到账，供应商应将银行转账底单的复印件作为磋商保证金提交凭证，放置于报价商务技术文件中，</w:t>
            </w:r>
            <w:r>
              <w:rPr>
                <w:rFonts w:hint="eastAsia" w:ascii="宋体" w:hAnsi="宋体" w:eastAsia="宋体" w:cs="宋体"/>
                <w:b/>
                <w:color w:val="auto"/>
                <w:sz w:val="21"/>
                <w:szCs w:val="21"/>
                <w:highlight w:val="none"/>
              </w:rPr>
              <w:t>否则响应文件按无效响应处理</w:t>
            </w:r>
            <w:r>
              <w:rPr>
                <w:rFonts w:hint="eastAsia" w:ascii="宋体" w:hAnsi="宋体" w:eastAsia="宋体" w:cs="宋体"/>
                <w:color w:val="auto"/>
                <w:sz w:val="21"/>
                <w:szCs w:val="21"/>
                <w:highlight w:val="none"/>
              </w:rPr>
              <w:t>。</w:t>
            </w:r>
          </w:p>
          <w:p w14:paraId="560DE69E">
            <w:pPr>
              <w:snapToGrid w:val="0"/>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2.磋商保证金采用支票、汇票、本票或者金融、担保机构出具的保函交纳方式的，供应商应将支票、汇票、本票或者金融、担保机构出具的保函的复印件作为磋商保证金提交凭证，放置于报价商务技术文件中，</w:t>
            </w:r>
            <w:r>
              <w:rPr>
                <w:rFonts w:hint="eastAsia" w:ascii="宋体" w:hAnsi="宋体" w:eastAsia="宋体" w:cs="宋体"/>
                <w:b/>
                <w:color w:val="auto"/>
                <w:sz w:val="21"/>
                <w:szCs w:val="21"/>
                <w:highlight w:val="none"/>
              </w:rPr>
              <w:t>否则响应无效</w:t>
            </w:r>
            <w:r>
              <w:rPr>
                <w:rFonts w:hint="eastAsia" w:ascii="宋体" w:hAnsi="宋体" w:eastAsia="宋体" w:cs="宋体"/>
                <w:color w:val="auto"/>
                <w:sz w:val="21"/>
                <w:szCs w:val="21"/>
                <w:highlight w:val="none"/>
              </w:rPr>
              <w:t>。供应商必须于递交竞标文件时将支票、汇票、本票或者金融、担保机构出具的保函原件提交给采购人或者采购代理机构，由采购人或者采购代理机构向供应商出具回执，并妥善保管。</w:t>
            </w:r>
          </w:p>
          <w:p w14:paraId="307CDCB2">
            <w:pPr>
              <w:keepNext w:val="0"/>
              <w:keepLines w:val="0"/>
              <w:pageBreakBefore w:val="0"/>
              <w:widowControl w:val="0"/>
              <w:kinsoku/>
              <w:overflowPunct/>
              <w:topLinePunct w:val="0"/>
              <w:bidi w:val="0"/>
              <w:snapToGrid w:val="0"/>
              <w:spacing w:line="360" w:lineRule="auto"/>
              <w:ind w:left="0" w:leftChars="0" w:right="0" w:right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3.磋商保证金指定账户：</w:t>
            </w:r>
          </w:p>
          <w:p w14:paraId="4FA1EDD4">
            <w:pPr>
              <w:keepNext w:val="0"/>
              <w:keepLines w:val="0"/>
              <w:pageBreakBefore w:val="0"/>
              <w:widowControl w:val="0"/>
              <w:kinsoku/>
              <w:overflowPunct/>
              <w:topLinePunct w:val="0"/>
              <w:bidi w:val="0"/>
              <w:snapToGrid w:val="0"/>
              <w:spacing w:line="360" w:lineRule="auto"/>
              <w:ind w:left="0" w:leftChars="0" w:right="0" w:right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开户名称：广西城建咨询设计有限公司</w:t>
            </w:r>
          </w:p>
          <w:p w14:paraId="56F27350">
            <w:pPr>
              <w:keepNext w:val="0"/>
              <w:keepLines w:val="0"/>
              <w:pageBreakBefore w:val="0"/>
              <w:widowControl w:val="0"/>
              <w:kinsoku/>
              <w:overflowPunct/>
              <w:topLinePunct w:val="0"/>
              <w:bidi w:val="0"/>
              <w:snapToGrid w:val="0"/>
              <w:spacing w:line="360" w:lineRule="auto"/>
              <w:ind w:left="0" w:leftChars="0" w:right="0" w:right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开户银行：建行南宁民族大道东支行</w:t>
            </w:r>
          </w:p>
          <w:p w14:paraId="66BA4383">
            <w:pPr>
              <w:keepNext w:val="0"/>
              <w:keepLines w:val="0"/>
              <w:pageBreakBefore w:val="0"/>
              <w:widowControl w:val="0"/>
              <w:kinsoku/>
              <w:overflowPunct/>
              <w:topLinePunct w:val="0"/>
              <w:bidi w:val="0"/>
              <w:snapToGrid w:val="0"/>
              <w:spacing w:line="360" w:lineRule="auto"/>
              <w:ind w:left="0" w:leftChars="0" w:right="0" w:right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银行账号：4500 1604 6530 5070 3663</w:t>
            </w:r>
          </w:p>
          <w:p w14:paraId="47FCB265">
            <w:pPr>
              <w:snapToGrid w:val="0"/>
              <w:spacing w:line="360" w:lineRule="auto"/>
              <w:rPr>
                <w:rFonts w:hint="eastAsia" w:ascii="宋体" w:hAnsi="宋体" w:eastAsia="宋体" w:cs="宋体"/>
                <w:color w:val="auto"/>
                <w:sz w:val="21"/>
                <w:szCs w:val="21"/>
                <w:highlight w:val="none"/>
              </w:rPr>
            </w:pPr>
          </w:p>
          <w:p w14:paraId="181611D2">
            <w:pPr>
              <w:snapToGrid w:val="0"/>
              <w:spacing w:line="360" w:lineRule="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 xml:space="preserve">备注： </w:t>
            </w:r>
          </w:p>
          <w:p w14:paraId="200390C6">
            <w:pPr>
              <w:snapToGrid w:val="0"/>
              <w:spacing w:line="360" w:lineRule="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1.磋商保证金在首次响应文件提交截止时间后提交的，或者不按规定交纳方式交纳的，或者未足额交纳的（包含保函额度不足的），视为无效磋商保证金。</w:t>
            </w:r>
          </w:p>
          <w:p w14:paraId="7556ED5C">
            <w:pPr>
              <w:snapToGrid w:val="0"/>
              <w:spacing w:line="360" w:lineRule="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2.供应商采用现钞方式或者从个人账户（自然人竞标除外）转出的磋商保证金，视为无效磋商保证金。</w:t>
            </w:r>
          </w:p>
          <w:p w14:paraId="3C002401">
            <w:pPr>
              <w:snapToGrid w:val="0"/>
              <w:spacing w:line="360" w:lineRule="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3.支票、汇票或者本票出现无效或者背书情形的，视为无效磋商保证金。</w:t>
            </w:r>
          </w:p>
          <w:p w14:paraId="4D15D38B">
            <w:pPr>
              <w:snapToGrid w:val="0"/>
              <w:spacing w:line="360" w:lineRule="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4.保函有效期低于竞标有效期的，视为无效磋商保证金。</w:t>
            </w:r>
          </w:p>
          <w:p w14:paraId="61072D47">
            <w:pPr>
              <w:snapToGrid w:val="0"/>
              <w:spacing w:line="360" w:lineRule="auto"/>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5.采用金融、担保机构出具保函的，必须为无条件保函，否则视为无效磋商保证金。</w:t>
            </w:r>
          </w:p>
        </w:tc>
      </w:tr>
      <w:tr w14:paraId="192803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17" w:type="dxa"/>
            <w:vAlign w:val="center"/>
          </w:tcPr>
          <w:p w14:paraId="212A2B89">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w:t>
            </w:r>
          </w:p>
        </w:tc>
        <w:tc>
          <w:tcPr>
            <w:tcW w:w="7787" w:type="dxa"/>
            <w:vAlign w:val="center"/>
          </w:tcPr>
          <w:p w14:paraId="27A6E1AF">
            <w:pPr>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响应文件份数：正本壹份、副本</w:t>
            </w:r>
            <w:r>
              <w:rPr>
                <w:rFonts w:hint="eastAsia" w:ascii="宋体" w:hAnsi="宋体" w:eastAsia="宋体" w:cs="宋体"/>
                <w:color w:val="auto"/>
                <w:sz w:val="21"/>
                <w:szCs w:val="21"/>
                <w:highlight w:val="none"/>
                <w:u w:val="single"/>
              </w:rPr>
              <w:t xml:space="preserve">  叁 </w:t>
            </w:r>
            <w:r>
              <w:rPr>
                <w:rFonts w:hint="eastAsia" w:ascii="宋体" w:hAnsi="宋体" w:eastAsia="宋体" w:cs="宋体"/>
                <w:color w:val="auto"/>
                <w:sz w:val="21"/>
                <w:szCs w:val="21"/>
                <w:highlight w:val="none"/>
              </w:rPr>
              <w:t>份。</w:t>
            </w:r>
          </w:p>
        </w:tc>
      </w:tr>
      <w:tr w14:paraId="1DDFED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17" w:type="dxa"/>
            <w:vAlign w:val="center"/>
          </w:tcPr>
          <w:p w14:paraId="7C0064EE">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20.1</w:t>
            </w:r>
          </w:p>
        </w:tc>
        <w:tc>
          <w:tcPr>
            <w:tcW w:w="7787" w:type="dxa"/>
            <w:vAlign w:val="center"/>
          </w:tcPr>
          <w:p w14:paraId="13E7169E">
            <w:pPr>
              <w:snapToGrid w:val="0"/>
              <w:spacing w:line="440" w:lineRule="exact"/>
              <w:ind w:firstLine="420" w:firstLineChars="200"/>
              <w:jc w:val="left"/>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rPr>
              <w:t>首次响应文件提交起止时间：详见竞争性磋商公告。</w:t>
            </w:r>
          </w:p>
          <w:p w14:paraId="4738CCE8">
            <w:pPr>
              <w:snapToGrid w:val="0"/>
              <w:spacing w:line="440" w:lineRule="exact"/>
              <w:ind w:firstLine="420" w:firstLineChars="200"/>
              <w:jc w:val="left"/>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rPr>
              <w:t>首次响应文件提交截止时间：详见竞争性磋商公告。</w:t>
            </w:r>
          </w:p>
          <w:p w14:paraId="5D7F34FA">
            <w:pPr>
              <w:snapToGrid w:val="0"/>
              <w:spacing w:line="44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首次响应文件提交地点：详见竞争性磋商公告。</w:t>
            </w:r>
          </w:p>
          <w:p w14:paraId="30CBCC1F">
            <w:pPr>
              <w:spacing w:line="440" w:lineRule="exact"/>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供应商必须在首次响应文件提交截止时间前，将响应文件密封送达首次响应文件提交地点。在首次响应文件提交截止时间后送达的响应文件为无效文件，采购代理机构应当拒收。</w:t>
            </w:r>
          </w:p>
        </w:tc>
      </w:tr>
      <w:tr w14:paraId="3F5F85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17" w:type="dxa"/>
            <w:vAlign w:val="center"/>
          </w:tcPr>
          <w:p w14:paraId="5E4D7072">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24.1</w:t>
            </w:r>
          </w:p>
        </w:tc>
        <w:tc>
          <w:tcPr>
            <w:tcW w:w="7787" w:type="dxa"/>
            <w:vAlign w:val="center"/>
          </w:tcPr>
          <w:p w14:paraId="2CAB52E6">
            <w:pPr>
              <w:snapToGrid w:val="0"/>
              <w:spacing w:line="440" w:lineRule="exact"/>
              <w:jc w:val="left"/>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rPr>
              <w:t>磋商小组的人数：</w:t>
            </w:r>
            <w:r>
              <w:rPr>
                <w:rFonts w:hint="eastAsia" w:ascii="宋体" w:hAnsi="宋体" w:eastAsia="宋体" w:cs="宋体"/>
                <w:color w:val="auto"/>
                <w:sz w:val="21"/>
                <w:szCs w:val="21"/>
                <w:highlight w:val="none"/>
                <w:u w:val="single"/>
              </w:rPr>
              <w:t xml:space="preserve"> 3 </w:t>
            </w:r>
            <w:r>
              <w:rPr>
                <w:rFonts w:hint="eastAsia" w:ascii="宋体" w:hAnsi="宋体" w:eastAsia="宋体" w:cs="宋体"/>
                <w:color w:val="auto"/>
                <w:sz w:val="21"/>
                <w:szCs w:val="21"/>
                <w:highlight w:val="none"/>
              </w:rPr>
              <w:t>人。</w:t>
            </w:r>
          </w:p>
        </w:tc>
      </w:tr>
      <w:tr w14:paraId="22B783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4" w:hRule="atLeast"/>
          <w:jc w:val="center"/>
        </w:trPr>
        <w:tc>
          <w:tcPr>
            <w:tcW w:w="1117" w:type="dxa"/>
            <w:vMerge w:val="restart"/>
            <w:vAlign w:val="center"/>
          </w:tcPr>
          <w:p w14:paraId="6906D9FA">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26.2</w:t>
            </w:r>
          </w:p>
        </w:tc>
        <w:tc>
          <w:tcPr>
            <w:tcW w:w="7787" w:type="dxa"/>
            <w:vAlign w:val="center"/>
          </w:tcPr>
          <w:p w14:paraId="1A1BCE9F">
            <w:pPr>
              <w:snapToGrid w:val="0"/>
              <w:spacing w:line="440" w:lineRule="exact"/>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商务条款评审中允许负偏离的条款数为</w:t>
            </w:r>
            <w:r>
              <w:rPr>
                <w:rFonts w:hint="eastAsia" w:ascii="宋体" w:hAnsi="宋体" w:eastAsia="宋体" w:cs="宋体"/>
                <w:b/>
                <w:bCs/>
                <w:color w:val="auto"/>
                <w:sz w:val="21"/>
                <w:szCs w:val="21"/>
                <w:highlight w:val="none"/>
                <w:u w:val="single"/>
              </w:rPr>
              <w:t xml:space="preserve"> 0  </w:t>
            </w:r>
            <w:r>
              <w:rPr>
                <w:rFonts w:hint="eastAsia" w:ascii="宋体" w:hAnsi="宋体" w:eastAsia="宋体" w:cs="宋体"/>
                <w:b/>
                <w:bCs/>
                <w:color w:val="auto"/>
                <w:sz w:val="21"/>
                <w:szCs w:val="21"/>
                <w:highlight w:val="none"/>
              </w:rPr>
              <w:t>项。</w:t>
            </w:r>
          </w:p>
          <w:p w14:paraId="0E812B05">
            <w:pPr>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rPr>
              <w:t>技术需求评审中</w:t>
            </w:r>
            <w:r>
              <w:rPr>
                <w:rFonts w:hint="eastAsia" w:ascii="宋体" w:hAnsi="宋体" w:cs="宋体"/>
                <w:b/>
                <w:bCs/>
                <w:color w:val="auto"/>
                <w:sz w:val="21"/>
                <w:szCs w:val="21"/>
                <w:highlight w:val="none"/>
                <w:lang w:val="en-US" w:eastAsia="zh-CN"/>
              </w:rPr>
              <w:t>带</w:t>
            </w:r>
            <w:r>
              <w:rPr>
                <w:rFonts w:hint="eastAsia" w:ascii="宋体" w:hAnsi="宋体" w:cs="宋体"/>
                <w:b/>
                <w:bCs/>
                <w:color w:val="auto"/>
                <w:szCs w:val="21"/>
                <w:highlight w:val="none"/>
              </w:rPr>
              <w:t>“</w:t>
            </w:r>
            <w:r>
              <w:rPr>
                <w:rFonts w:hint="eastAsia" w:ascii="宋体" w:hAnsi="宋体" w:cs="宋体"/>
                <w:color w:val="auto"/>
                <w:szCs w:val="21"/>
                <w:highlight w:val="none"/>
              </w:rPr>
              <w:t>▲</w:t>
            </w:r>
            <w:r>
              <w:rPr>
                <w:rFonts w:hint="eastAsia" w:ascii="宋体" w:hAnsi="宋体" w:cs="宋体"/>
                <w:b/>
                <w:bCs/>
                <w:color w:val="auto"/>
                <w:szCs w:val="21"/>
                <w:highlight w:val="none"/>
              </w:rPr>
              <w:t>”</w:t>
            </w:r>
            <w:r>
              <w:rPr>
                <w:rFonts w:hint="eastAsia" w:ascii="宋体" w:hAnsi="宋体" w:cs="宋体"/>
                <w:b/>
                <w:bCs/>
                <w:color w:val="auto"/>
                <w:szCs w:val="21"/>
                <w:highlight w:val="none"/>
                <w:lang w:val="en-US" w:eastAsia="zh-CN"/>
              </w:rPr>
              <w:t>号条款</w:t>
            </w:r>
            <w:r>
              <w:rPr>
                <w:rFonts w:hint="eastAsia" w:ascii="宋体" w:hAnsi="宋体" w:eastAsia="宋体" w:cs="宋体"/>
                <w:b/>
                <w:bCs/>
                <w:color w:val="auto"/>
                <w:sz w:val="21"/>
                <w:szCs w:val="21"/>
                <w:highlight w:val="none"/>
              </w:rPr>
              <w:t>允许负偏离的条款数为</w:t>
            </w:r>
            <w:r>
              <w:rPr>
                <w:rFonts w:hint="eastAsia" w:ascii="宋体" w:hAnsi="宋体" w:eastAsia="宋体" w:cs="宋体"/>
                <w:b/>
                <w:bCs/>
                <w:color w:val="auto"/>
                <w:sz w:val="21"/>
                <w:szCs w:val="21"/>
                <w:highlight w:val="none"/>
                <w:u w:val="single"/>
              </w:rPr>
              <w:t xml:space="preserve"> 0  </w:t>
            </w:r>
            <w:r>
              <w:rPr>
                <w:rFonts w:hint="eastAsia" w:ascii="宋体" w:hAnsi="宋体" w:eastAsia="宋体" w:cs="宋体"/>
                <w:b/>
                <w:bCs/>
                <w:color w:val="auto"/>
                <w:sz w:val="21"/>
                <w:szCs w:val="21"/>
                <w:highlight w:val="none"/>
              </w:rPr>
              <w:t>项。</w:t>
            </w:r>
          </w:p>
        </w:tc>
      </w:tr>
      <w:tr w14:paraId="03A8A3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17" w:type="dxa"/>
            <w:vMerge w:val="continue"/>
            <w:vAlign w:val="center"/>
          </w:tcPr>
          <w:p w14:paraId="3DB2902E">
            <w:pPr>
              <w:spacing w:line="440" w:lineRule="exact"/>
              <w:jc w:val="center"/>
              <w:rPr>
                <w:rFonts w:hint="eastAsia" w:ascii="宋体" w:hAnsi="宋体" w:eastAsia="宋体" w:cs="宋体"/>
                <w:color w:val="auto"/>
                <w:sz w:val="21"/>
                <w:szCs w:val="21"/>
                <w:highlight w:val="none"/>
              </w:rPr>
            </w:pPr>
          </w:p>
        </w:tc>
        <w:tc>
          <w:tcPr>
            <w:tcW w:w="7787" w:type="dxa"/>
            <w:vAlign w:val="center"/>
          </w:tcPr>
          <w:p w14:paraId="02E20726">
            <w:pPr>
              <w:pStyle w:val="13"/>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sym w:font="Wingdings 2" w:char="00A3"/>
            </w:r>
            <w:r>
              <w:rPr>
                <w:rFonts w:hint="eastAsia" w:ascii="宋体" w:hAnsi="宋体" w:eastAsia="宋体" w:cs="宋体"/>
                <w:color w:val="auto"/>
                <w:sz w:val="21"/>
                <w:szCs w:val="21"/>
                <w:highlight w:val="none"/>
              </w:rPr>
              <w:t>按照提交首次响应文件的顺序，通知磋商时，若某供应商不在通知现场时（该供应商排序到最后磋商），按照签到的顺序由其下一位供应商先参与磋商。</w:t>
            </w:r>
          </w:p>
          <w:p w14:paraId="0F33D9FD">
            <w:pPr>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sym w:font="Wingdings 2" w:char="0052"/>
            </w:r>
            <w:r>
              <w:rPr>
                <w:rFonts w:hint="eastAsia" w:ascii="宋体" w:hAnsi="宋体" w:eastAsia="宋体" w:cs="宋体"/>
                <w:color w:val="auto"/>
                <w:sz w:val="21"/>
                <w:szCs w:val="21"/>
                <w:highlight w:val="none"/>
              </w:rPr>
              <w:t>随机排序。</w:t>
            </w:r>
          </w:p>
          <w:p w14:paraId="2F9D1FDE">
            <w:pPr>
              <w:pStyle w:val="13"/>
              <w:spacing w:line="440" w:lineRule="exact"/>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参与磋商前，供应商法定代表人或者委托代理人必须向磋商小组出示本人有效证件原件[有效证件可以是身份证（含临时身份证明）、机动车驾驶证、社会保障卡或者护照的其中一项]，若参与磋商的委托代理人不是响应文件中授权的委托代理人时，必须同时出示有效的法定代表人授权委托书原件，否则磋商小组将拒绝其参与磋商。</w:t>
            </w:r>
          </w:p>
        </w:tc>
      </w:tr>
      <w:tr w14:paraId="326C3B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17" w:type="dxa"/>
            <w:vAlign w:val="center"/>
          </w:tcPr>
          <w:p w14:paraId="4FFF8DA1">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28.1</w:t>
            </w:r>
          </w:p>
        </w:tc>
        <w:tc>
          <w:tcPr>
            <w:tcW w:w="7787" w:type="dxa"/>
            <w:vAlign w:val="center"/>
          </w:tcPr>
          <w:p w14:paraId="241EDF52">
            <w:pPr>
              <w:autoSpaceDE w:val="0"/>
              <w:autoSpaceDN w:val="0"/>
              <w:snapToGrid w:val="0"/>
              <w:spacing w:line="390" w:lineRule="exact"/>
              <w:textAlignment w:val="bottom"/>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rPr>
              <w:t>履约保证金金额：本项目不收取履约保证金。</w:t>
            </w:r>
          </w:p>
        </w:tc>
      </w:tr>
      <w:tr w14:paraId="7AB87E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17" w:type="dxa"/>
            <w:vAlign w:val="center"/>
          </w:tcPr>
          <w:p w14:paraId="347BB391">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29.1</w:t>
            </w:r>
          </w:p>
        </w:tc>
        <w:tc>
          <w:tcPr>
            <w:tcW w:w="7787" w:type="dxa"/>
            <w:vAlign w:val="center"/>
          </w:tcPr>
          <w:p w14:paraId="7CEAAD70">
            <w:pPr>
              <w:autoSpaceDE w:val="0"/>
              <w:autoSpaceDN w:val="0"/>
              <w:snapToGrid w:val="0"/>
              <w:spacing w:line="440" w:lineRule="exact"/>
              <w:textAlignment w:val="bottom"/>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签订合同携带的证明材料： </w:t>
            </w:r>
          </w:p>
          <w:p w14:paraId="7154DE45">
            <w:pPr>
              <w:autoSpaceDE w:val="0"/>
              <w:autoSpaceDN w:val="0"/>
              <w:snapToGrid w:val="0"/>
              <w:spacing w:line="440" w:lineRule="exact"/>
              <w:textAlignment w:val="bottom"/>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委托代理人负责签订合同的，须携带授权委托书及委托代理人身份证原件等其他资格证件。</w:t>
            </w:r>
          </w:p>
          <w:p w14:paraId="03795B3C">
            <w:pPr>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法定代表人负责签订合同的，须携带法定代表人身份证明原件及身份证原件等其他证明材料。</w:t>
            </w:r>
          </w:p>
        </w:tc>
      </w:tr>
      <w:tr w14:paraId="691EDF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17" w:type="dxa"/>
            <w:vAlign w:val="center"/>
          </w:tcPr>
          <w:p w14:paraId="1C002904">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31.2</w:t>
            </w:r>
          </w:p>
        </w:tc>
        <w:tc>
          <w:tcPr>
            <w:tcW w:w="7787" w:type="dxa"/>
            <w:vAlign w:val="center"/>
          </w:tcPr>
          <w:p w14:paraId="60159870">
            <w:pPr>
              <w:autoSpaceDE w:val="0"/>
              <w:autoSpaceDN w:val="0"/>
              <w:snapToGrid w:val="0"/>
              <w:spacing w:line="440" w:lineRule="exact"/>
              <w:textAlignment w:val="bottom"/>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接收质疑函方式：以书面形式。</w:t>
            </w:r>
          </w:p>
          <w:p w14:paraId="1E7FE8A7">
            <w:pPr>
              <w:autoSpaceDE w:val="0"/>
              <w:autoSpaceDN w:val="0"/>
              <w:snapToGrid w:val="0"/>
              <w:spacing w:line="440" w:lineRule="exact"/>
              <w:textAlignment w:val="bottom"/>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质疑联系部门及联系方式：</w:t>
            </w:r>
            <w:r>
              <w:rPr>
                <w:rFonts w:hint="eastAsia" w:ascii="宋体" w:hAnsi="宋体" w:eastAsia="宋体" w:cs="宋体"/>
                <w:color w:val="auto"/>
                <w:sz w:val="21"/>
                <w:szCs w:val="21"/>
                <w:highlight w:val="none"/>
                <w:lang w:eastAsia="zh-CN"/>
              </w:rPr>
              <w:t>广西城建咨询设计有限公司</w:t>
            </w:r>
            <w:r>
              <w:rPr>
                <w:rFonts w:hint="eastAsia" w:ascii="宋体" w:hAnsi="宋体" w:eastAsia="宋体" w:cs="宋体"/>
                <w:color w:val="auto"/>
                <w:sz w:val="21"/>
                <w:szCs w:val="21"/>
                <w:highlight w:val="none"/>
              </w:rPr>
              <w:t>，联系电话：</w:t>
            </w:r>
            <w:r>
              <w:rPr>
                <w:rFonts w:hint="eastAsia" w:ascii="宋体" w:hAnsi="宋体" w:eastAsia="宋体" w:cs="宋体"/>
                <w:color w:val="auto"/>
                <w:sz w:val="21"/>
                <w:szCs w:val="21"/>
                <w:highlight w:val="none"/>
                <w:lang w:eastAsia="zh-CN"/>
              </w:rPr>
              <w:t>19175895822/15977505290</w:t>
            </w:r>
            <w:r>
              <w:rPr>
                <w:rFonts w:hint="eastAsia" w:ascii="宋体" w:hAnsi="宋体" w:eastAsia="宋体" w:cs="宋体"/>
                <w:color w:val="auto"/>
                <w:sz w:val="21"/>
                <w:szCs w:val="21"/>
                <w:highlight w:val="none"/>
              </w:rPr>
              <w:t xml:space="preserve"> ，通讯地址：</w:t>
            </w:r>
            <w:r>
              <w:rPr>
                <w:rFonts w:hint="eastAsia" w:ascii="宋体" w:hAnsi="宋体" w:eastAsia="宋体" w:cs="宋体"/>
                <w:color w:val="auto"/>
                <w:sz w:val="21"/>
                <w:szCs w:val="21"/>
                <w:highlight w:val="none"/>
                <w:lang w:eastAsia="zh-CN"/>
              </w:rPr>
              <w:t>南宁市青秀区金湖路58号广西建设大厦三楼</w:t>
            </w:r>
            <w:r>
              <w:rPr>
                <w:rFonts w:hint="eastAsia" w:ascii="宋体" w:hAnsi="宋体" w:eastAsia="宋体" w:cs="宋体"/>
                <w:color w:val="auto"/>
                <w:sz w:val="21"/>
                <w:szCs w:val="21"/>
                <w:highlight w:val="none"/>
              </w:rPr>
              <w:t>。</w:t>
            </w:r>
          </w:p>
          <w:p w14:paraId="45B5EAFD">
            <w:pPr>
              <w:autoSpaceDE w:val="0"/>
              <w:autoSpaceDN w:val="0"/>
              <w:snapToGrid w:val="0"/>
              <w:spacing w:line="440" w:lineRule="exact"/>
              <w:textAlignment w:val="bottom"/>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现场提交质疑办理业务时间：每天上午</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时00分至12时00分，下午15时00分至</w:t>
            </w:r>
            <w:r>
              <w:rPr>
                <w:rFonts w:hint="eastAsia" w:ascii="宋体" w:hAnsi="宋体" w:eastAsia="宋体" w:cs="宋体"/>
                <w:color w:val="auto"/>
                <w:sz w:val="21"/>
                <w:szCs w:val="21"/>
                <w:highlight w:val="none"/>
                <w:lang w:eastAsia="zh-CN"/>
              </w:rPr>
              <w:t>18时00分</w:t>
            </w:r>
            <w:r>
              <w:rPr>
                <w:rFonts w:hint="eastAsia" w:ascii="宋体" w:hAnsi="宋体" w:eastAsia="宋体" w:cs="宋体"/>
                <w:color w:val="auto"/>
                <w:sz w:val="21"/>
                <w:szCs w:val="21"/>
                <w:highlight w:val="none"/>
              </w:rPr>
              <w:t>，业务时间以外、双休日和法定节假日不办理业务。</w:t>
            </w:r>
          </w:p>
        </w:tc>
      </w:tr>
      <w:tr w14:paraId="5233D5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117" w:type="dxa"/>
            <w:vAlign w:val="center"/>
          </w:tcPr>
          <w:p w14:paraId="19937E8C">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32.1</w:t>
            </w:r>
          </w:p>
        </w:tc>
        <w:tc>
          <w:tcPr>
            <w:tcW w:w="7787" w:type="dxa"/>
            <w:vAlign w:val="center"/>
          </w:tcPr>
          <w:p w14:paraId="06C08F6D">
            <w:pPr>
              <w:pStyle w:val="18"/>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1.采购代理费支付方式：</w:t>
            </w:r>
          </w:p>
          <w:p w14:paraId="5842C912">
            <w:pPr>
              <w:pStyle w:val="18"/>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成交供应商在成交公告发布后一次性向采购代理机构支付本项目代理服务费。</w:t>
            </w:r>
          </w:p>
          <w:p w14:paraId="643E7DD4">
            <w:pPr>
              <w:pStyle w:val="18"/>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2.采购代理费收取标准：</w:t>
            </w:r>
          </w:p>
          <w:p w14:paraId="3672FFC9">
            <w:pPr>
              <w:pStyle w:val="18"/>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以采购预算金额为计费额，</w:t>
            </w:r>
            <w:r>
              <w:rPr>
                <w:rFonts w:hint="eastAsia" w:hAnsi="宋体" w:cs="宋体"/>
                <w:color w:val="auto"/>
                <w:sz w:val="21"/>
                <w:szCs w:val="21"/>
                <w:highlight w:val="none"/>
                <w:lang w:eastAsia="zh-CN"/>
              </w:rPr>
              <w:t>参照</w:t>
            </w:r>
            <w:r>
              <w:rPr>
                <w:rFonts w:hint="eastAsia" w:ascii="宋体" w:hAnsi="宋体" w:eastAsia="宋体" w:cs="宋体"/>
                <w:color w:val="auto"/>
                <w:sz w:val="21"/>
                <w:szCs w:val="21"/>
                <w:highlight w:val="none"/>
                <w:lang w:eastAsia="zh-CN"/>
              </w:rPr>
              <w:t>《广西壮族自治区物价局转发国家发展改革委关于降低部分建设项目收费标准规范收费行为等有关问题的通知（桂价费〔2011〕55号）》收费标准</w:t>
            </w:r>
            <w:r>
              <w:rPr>
                <w:rFonts w:hint="eastAsia" w:ascii="宋体" w:hAnsi="宋体" w:eastAsia="宋体" w:cs="宋体"/>
                <w:color w:val="auto"/>
                <w:sz w:val="21"/>
                <w:szCs w:val="21"/>
                <w:highlight w:val="none"/>
              </w:rPr>
              <w:t>（服务类）</w:t>
            </w:r>
            <w:r>
              <w:rPr>
                <w:rFonts w:hint="eastAsia" w:ascii="宋体" w:hAnsi="宋体" w:eastAsia="宋体" w:cs="宋体"/>
                <w:color w:val="auto"/>
                <w:sz w:val="21"/>
                <w:szCs w:val="21"/>
                <w:highlight w:val="none"/>
                <w:lang w:eastAsia="zh-CN"/>
              </w:rPr>
              <w:t>计取，</w:t>
            </w:r>
            <w:r>
              <w:rPr>
                <w:rFonts w:hint="eastAsia" w:ascii="宋体" w:hAnsi="宋体" w:eastAsia="宋体" w:cs="宋体"/>
                <w:color w:val="auto"/>
                <w:sz w:val="21"/>
                <w:szCs w:val="21"/>
                <w:highlight w:val="none"/>
              </w:rPr>
              <w:t>采用差额定率累进法计算出收费基准价格。</w:t>
            </w:r>
          </w:p>
          <w:p w14:paraId="0BB85527">
            <w:pPr>
              <w:pStyle w:val="18"/>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采购代理费收取银行账户</w:t>
            </w:r>
          </w:p>
          <w:p w14:paraId="6F4B52E4">
            <w:pPr>
              <w:pStyle w:val="18"/>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开户名称：广西城建咨询设计有限公司</w:t>
            </w:r>
          </w:p>
          <w:p w14:paraId="248F183C">
            <w:pPr>
              <w:pStyle w:val="18"/>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开户银行：建设银行南宁锦春支行</w:t>
            </w:r>
          </w:p>
          <w:p w14:paraId="6F3F20E1">
            <w:pPr>
              <w:pStyle w:val="18"/>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银行账号：4505 0160 4783 0000 0080</w:t>
            </w:r>
          </w:p>
        </w:tc>
      </w:tr>
      <w:tr w14:paraId="29E13A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117" w:type="dxa"/>
            <w:vAlign w:val="center"/>
          </w:tcPr>
          <w:p w14:paraId="727E6ACF">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33.1</w:t>
            </w:r>
          </w:p>
        </w:tc>
        <w:tc>
          <w:tcPr>
            <w:tcW w:w="7787" w:type="dxa"/>
            <w:vAlign w:val="center"/>
          </w:tcPr>
          <w:p w14:paraId="1DD0FC57">
            <w:pPr>
              <w:pStyle w:val="18"/>
              <w:snapToGrid w:val="0"/>
              <w:spacing w:line="440" w:lineRule="exact"/>
              <w:rPr>
                <w:rFonts w:hint="eastAsia" w:ascii="宋体" w:hAnsi="宋体" w:eastAsia="宋体" w:cs="宋体"/>
                <w:color w:val="auto"/>
                <w:kern w:val="2"/>
                <w:sz w:val="21"/>
                <w:szCs w:val="21"/>
                <w:highlight w:val="none"/>
              </w:rPr>
            </w:pPr>
            <w:r>
              <w:rPr>
                <w:rFonts w:hint="eastAsia" w:ascii="宋体" w:hAnsi="宋体" w:eastAsia="宋体" w:cs="宋体"/>
                <w:color w:val="auto"/>
                <w:sz w:val="21"/>
                <w:szCs w:val="21"/>
                <w:highlight w:val="none"/>
              </w:rPr>
              <w:t>解释：构成本磋商文件的各个组成文件应互为解释，互为说明；除磋商文件中有特别规定外，仅适用于竞标阶段的规定，按更正公告（澄清公告）、竞争性磋商公告、供应商须知、采购需求、评审程序、评审方法和评审标准、响应文件格式、合同文本的先后顺序解释；同一组成文件中就同一事项的规定或者约定不一致的，以编排顺序在后者为准；同一组成文件不同版本之间有不一致的，以形成时间在后者为准；更正公告（澄清公告）与同步更新的磋商文件不一致时以更正公告（澄清公告）为准。按本款前述规定仍不能形成结论的，由采购人或者采购代理机构负责解释。</w:t>
            </w:r>
          </w:p>
        </w:tc>
      </w:tr>
      <w:tr w14:paraId="22D90A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17" w:type="dxa"/>
            <w:vAlign w:val="center"/>
          </w:tcPr>
          <w:p w14:paraId="35AA34C0">
            <w:pPr>
              <w:spacing w:line="4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33.2</w:t>
            </w:r>
          </w:p>
        </w:tc>
        <w:tc>
          <w:tcPr>
            <w:tcW w:w="7787" w:type="dxa"/>
            <w:vAlign w:val="center"/>
          </w:tcPr>
          <w:p w14:paraId="23100A2D">
            <w:pPr>
              <w:pStyle w:val="18"/>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本磋商文件中描述供应商的“公章”是指根据我国对公章的管理规定，用供应商法定主体行为名称制作的印章，除本磋商文件有特殊规定外，供应商的财务章、部门章、分公司章、工会章、合同章、竞标/投标专用章、业务专用章及银行的转账章、现金收讫章、现金付讫章等其他形式印章均不能代替公章。</w:t>
            </w:r>
          </w:p>
          <w:p w14:paraId="4C2F7AB4">
            <w:pPr>
              <w:pStyle w:val="18"/>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2.供应商为其他组织或者自然人时，本磋商文件规定的法定代表人指负责人或者自然人。本磋商文件所称负责人是指参加竞标的其他组织营业执照上的负责人，本磋商文件所称自然人指参与竞标的自然人本人。</w:t>
            </w:r>
          </w:p>
          <w:p w14:paraId="103EE950">
            <w:pPr>
              <w:pStyle w:val="18"/>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3.本磋商文件中描述供应商的“签字”是指供应商的法定代表人或者委托代理人亲自在文件规定签署处亲笔写上个人的名字的行为，私章、签字章、印鉴、影印等其他形式均不能代替亲笔签字。</w:t>
            </w:r>
          </w:p>
          <w:p w14:paraId="6929A800">
            <w:pPr>
              <w:pStyle w:val="18"/>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4.自然人竞标的，磋商文件规定盖公章处由自然人摁手指指印。</w:t>
            </w:r>
          </w:p>
          <w:p w14:paraId="155D7B5A">
            <w:pPr>
              <w:pStyle w:val="18"/>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5.本磋商文件所称的“以上”“以下”“以内”“届满”，包括本数；所称的“不满”“超过”“以外”，不包括本数。</w:t>
            </w:r>
          </w:p>
        </w:tc>
      </w:tr>
      <w:tr w14:paraId="0D6081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17" w:type="dxa"/>
            <w:vAlign w:val="center"/>
          </w:tcPr>
          <w:p w14:paraId="39D169D2">
            <w:pPr>
              <w:pStyle w:val="18"/>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中小型企业条件</w:t>
            </w:r>
          </w:p>
        </w:tc>
        <w:tc>
          <w:tcPr>
            <w:tcW w:w="7787" w:type="dxa"/>
            <w:vAlign w:val="center"/>
          </w:tcPr>
          <w:p w14:paraId="5BDF6E2E">
            <w:pPr>
              <w:pStyle w:val="18"/>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1、本采购文件所称中小企业必须符合《关于印发&lt;政府采购促进中小企业发展管理办法&gt;的通知》（财库〔2020〕46号）规定。</w:t>
            </w:r>
          </w:p>
        </w:tc>
      </w:tr>
      <w:tr w14:paraId="45D99C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17" w:type="dxa"/>
            <w:vAlign w:val="center"/>
          </w:tcPr>
          <w:p w14:paraId="531D8DAE">
            <w:pPr>
              <w:pStyle w:val="18"/>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监狱企业条件</w:t>
            </w:r>
          </w:p>
        </w:tc>
        <w:tc>
          <w:tcPr>
            <w:tcW w:w="7787" w:type="dxa"/>
            <w:vAlign w:val="center"/>
          </w:tcPr>
          <w:p w14:paraId="481C3E64">
            <w:pPr>
              <w:pStyle w:val="18"/>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符合《关于政府采购支持监狱企业发展有关问题的通知》（财库〔2014〕68号）规定的企业视同为小型、微型企业。</w:t>
            </w:r>
          </w:p>
        </w:tc>
      </w:tr>
      <w:tr w14:paraId="4C8F9A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117" w:type="dxa"/>
            <w:vAlign w:val="center"/>
          </w:tcPr>
          <w:p w14:paraId="1F208696">
            <w:pPr>
              <w:pStyle w:val="18"/>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残疾人福利性单位条件</w:t>
            </w:r>
          </w:p>
        </w:tc>
        <w:tc>
          <w:tcPr>
            <w:tcW w:w="7787" w:type="dxa"/>
            <w:vAlign w:val="center"/>
          </w:tcPr>
          <w:p w14:paraId="66372A94">
            <w:pPr>
              <w:pStyle w:val="18"/>
              <w:snapToGrid w:val="0"/>
              <w:spacing w:line="44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符合《三部门联合发布关于促进残疾人就业政府采购政策的通知》（财库〔2017〕141号）规定的企业视同为小型、微型企业。</w:t>
            </w:r>
          </w:p>
        </w:tc>
      </w:tr>
    </w:tbl>
    <w:p w14:paraId="2921818F">
      <w:pPr>
        <w:spacing w:line="440" w:lineRule="exact"/>
        <w:jc w:val="center"/>
        <w:rPr>
          <w:rFonts w:ascii="宋体" w:hAnsi="宋体"/>
          <w:b/>
          <w:color w:val="auto"/>
          <w:sz w:val="32"/>
          <w:szCs w:val="32"/>
          <w:highlight w:val="none"/>
        </w:rPr>
      </w:pPr>
      <w:r>
        <w:rPr>
          <w:rFonts w:ascii="宋体" w:hAnsi="宋体"/>
          <w:b/>
          <w:color w:val="auto"/>
          <w:sz w:val="32"/>
          <w:szCs w:val="32"/>
          <w:highlight w:val="none"/>
        </w:rPr>
        <w:br w:type="page"/>
      </w:r>
      <w:r>
        <w:rPr>
          <w:rFonts w:hint="eastAsia" w:ascii="宋体" w:hAnsi="宋体"/>
          <w:b/>
          <w:color w:val="auto"/>
          <w:sz w:val="32"/>
          <w:szCs w:val="32"/>
          <w:highlight w:val="none"/>
        </w:rPr>
        <w:t>供应商须知正文</w:t>
      </w:r>
    </w:p>
    <w:p w14:paraId="28701B5B">
      <w:pPr>
        <w:spacing w:line="440" w:lineRule="exact"/>
        <w:jc w:val="center"/>
        <w:rPr>
          <w:rFonts w:ascii="宋体" w:hAnsi="宋体"/>
          <w:b/>
          <w:color w:val="auto"/>
          <w:sz w:val="32"/>
          <w:szCs w:val="32"/>
          <w:highlight w:val="none"/>
        </w:rPr>
      </w:pPr>
    </w:p>
    <w:p w14:paraId="6E6F212C">
      <w:pPr>
        <w:spacing w:line="440" w:lineRule="exact"/>
        <w:jc w:val="center"/>
        <w:rPr>
          <w:rFonts w:ascii="宋体" w:hAnsi="宋体"/>
          <w:b/>
          <w:color w:val="auto"/>
          <w:sz w:val="32"/>
          <w:szCs w:val="32"/>
          <w:highlight w:val="none"/>
        </w:rPr>
      </w:pPr>
      <w:r>
        <w:rPr>
          <w:rFonts w:hint="eastAsia" w:ascii="宋体" w:hAnsi="宋体"/>
          <w:b/>
          <w:color w:val="auto"/>
          <w:sz w:val="32"/>
          <w:szCs w:val="32"/>
          <w:highlight w:val="none"/>
        </w:rPr>
        <w:t>一、总则</w:t>
      </w:r>
    </w:p>
    <w:p w14:paraId="05650C85">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1.适用范围</w:t>
      </w:r>
    </w:p>
    <w:p w14:paraId="178012B4">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1.1</w:t>
      </w:r>
      <w:r>
        <w:rPr>
          <w:rFonts w:hint="eastAsia" w:ascii="宋体" w:hAnsi="宋体" w:cs="宋体"/>
          <w:color w:val="auto"/>
          <w:spacing w:val="-6"/>
          <w:szCs w:val="21"/>
          <w:highlight w:val="none"/>
        </w:rPr>
        <w:t>本竞争性磋商文件（以下简称磋商文件）适用于本项目的所有采购程序和环节（法律、法规另有规定的，从其规定）。</w:t>
      </w:r>
    </w:p>
    <w:p w14:paraId="09DDB327">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2.定义</w:t>
      </w:r>
    </w:p>
    <w:p w14:paraId="3EC83DA6">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2.1“采购人”是指依法进行政府采购的国家机关、事业单位、团体组织。</w:t>
      </w:r>
    </w:p>
    <w:p w14:paraId="68858FEB">
      <w:pPr>
        <w:spacing w:line="440" w:lineRule="exact"/>
        <w:ind w:firstLine="420" w:firstLineChars="200"/>
        <w:rPr>
          <w:rFonts w:ascii="宋体" w:hAnsi="宋体" w:cs="宋体"/>
          <w:color w:val="auto"/>
          <w:szCs w:val="21"/>
          <w:highlight w:val="none"/>
          <w:u w:val="single"/>
        </w:rPr>
      </w:pPr>
      <w:r>
        <w:rPr>
          <w:rFonts w:hint="eastAsia" w:ascii="宋体" w:hAnsi="宋体" w:cs="宋体"/>
          <w:color w:val="auto"/>
          <w:szCs w:val="21"/>
          <w:highlight w:val="none"/>
        </w:rPr>
        <w:t>2.2“采购代理机构”是指集中采购机构以外的采购代理机构。</w:t>
      </w:r>
    </w:p>
    <w:p w14:paraId="297F6998">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2.3“供应商”是指向采购人提供货物、工程或者服务的法人、其他组织或者自然人。</w:t>
      </w:r>
    </w:p>
    <w:p w14:paraId="287AAD47">
      <w:pPr>
        <w:spacing w:line="440" w:lineRule="exact"/>
        <w:ind w:firstLine="420" w:firstLineChars="200"/>
        <w:rPr>
          <w:rFonts w:ascii="宋体" w:hAnsi="宋体" w:cs="宋体"/>
          <w:color w:val="auto"/>
          <w:szCs w:val="21"/>
          <w:highlight w:val="none"/>
        </w:rPr>
      </w:pPr>
      <w:r>
        <w:rPr>
          <w:rFonts w:hint="eastAsia" w:ascii="宋体" w:hAnsi="宋体"/>
          <w:color w:val="auto"/>
          <w:szCs w:val="21"/>
          <w:highlight w:val="none"/>
        </w:rPr>
        <w:t>2.4“服务”是指除货物和工程以外的其他政府采购对象。</w:t>
      </w:r>
    </w:p>
    <w:p w14:paraId="3C258B9B">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w:t>
      </w:r>
      <w:r>
        <w:rPr>
          <w:rFonts w:ascii="宋体" w:hAnsi="宋体" w:cs="宋体"/>
          <w:color w:val="auto"/>
          <w:szCs w:val="21"/>
          <w:highlight w:val="none"/>
        </w:rPr>
        <w:t>5</w:t>
      </w:r>
      <w:r>
        <w:rPr>
          <w:rFonts w:hint="eastAsia" w:ascii="宋体" w:hAnsi="宋体" w:cs="宋体"/>
          <w:color w:val="auto"/>
          <w:szCs w:val="21"/>
          <w:highlight w:val="none"/>
        </w:rPr>
        <w:t>“竞标”是指供应商按照本项目竞争性磋商公告或者邀请函规定的方式获取磋商文件、提交响应文件并希望获得标的的行为。</w:t>
      </w:r>
    </w:p>
    <w:p w14:paraId="472FB42B">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w:t>
      </w:r>
      <w:r>
        <w:rPr>
          <w:rFonts w:ascii="宋体" w:hAnsi="宋体" w:cs="宋体"/>
          <w:color w:val="auto"/>
          <w:szCs w:val="21"/>
          <w:highlight w:val="none"/>
        </w:rPr>
        <w:t>6</w:t>
      </w:r>
      <w:r>
        <w:rPr>
          <w:rFonts w:hint="eastAsia" w:ascii="宋体" w:hAnsi="宋体" w:cs="宋体"/>
          <w:color w:val="auto"/>
          <w:szCs w:val="21"/>
          <w:highlight w:val="none"/>
        </w:rPr>
        <w:t>“响应文件”</w:t>
      </w:r>
      <w:r>
        <w:rPr>
          <w:rFonts w:hint="eastAsia" w:ascii="宋体" w:hAnsi="宋体" w:cs="宋体"/>
          <w:color w:val="auto"/>
          <w:spacing w:val="-6"/>
          <w:szCs w:val="21"/>
          <w:highlight w:val="none"/>
        </w:rPr>
        <w:t>是指：供应商根据本磋商文件要求，编制包含资格证明、报价商务技术等所有内容的文件。</w:t>
      </w:r>
    </w:p>
    <w:p w14:paraId="6EB70188">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w:t>
      </w:r>
      <w:r>
        <w:rPr>
          <w:rFonts w:ascii="宋体" w:hAnsi="宋体" w:cs="宋体"/>
          <w:color w:val="auto"/>
          <w:szCs w:val="21"/>
          <w:highlight w:val="none"/>
        </w:rPr>
        <w:t>7</w:t>
      </w:r>
      <w:r>
        <w:rPr>
          <w:rFonts w:hint="eastAsia" w:ascii="宋体" w:hAnsi="宋体" w:cs="宋体"/>
          <w:color w:val="auto"/>
          <w:szCs w:val="21"/>
          <w:highlight w:val="none"/>
        </w:rPr>
        <w:t>“实质性要求”是指磋商文件中已经指明不满足则响应文件按无效响应处理的条款，或者不能负偏离的条款，或者采购需求中带“▲”的条款。</w:t>
      </w:r>
    </w:p>
    <w:p w14:paraId="50C13DE2">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w:t>
      </w:r>
      <w:r>
        <w:rPr>
          <w:rFonts w:ascii="宋体" w:hAnsi="宋体" w:cs="宋体"/>
          <w:color w:val="auto"/>
          <w:szCs w:val="21"/>
          <w:highlight w:val="none"/>
        </w:rPr>
        <w:t>8</w:t>
      </w:r>
      <w:r>
        <w:rPr>
          <w:rFonts w:hint="eastAsia" w:ascii="宋体" w:hAnsi="宋体" w:cs="宋体"/>
          <w:color w:val="auto"/>
          <w:szCs w:val="21"/>
          <w:highlight w:val="none"/>
        </w:rPr>
        <w:t>“正偏离”，是指响应文件对磋商文件“采购需求”中有关条款作出的响应优于条款要求并有利于采购人的情形。</w:t>
      </w:r>
    </w:p>
    <w:p w14:paraId="0893B56B">
      <w:pPr>
        <w:spacing w:line="440" w:lineRule="exact"/>
        <w:ind w:firstLine="420" w:firstLineChars="200"/>
        <w:rPr>
          <w:rFonts w:ascii="宋体" w:hAnsi="宋体" w:cs="宋体"/>
          <w:color w:val="auto"/>
          <w:szCs w:val="21"/>
          <w:highlight w:val="none"/>
        </w:rPr>
      </w:pPr>
      <w:r>
        <w:rPr>
          <w:rFonts w:ascii="宋体" w:hAnsi="宋体" w:cs="宋体"/>
          <w:color w:val="auto"/>
          <w:szCs w:val="21"/>
          <w:highlight w:val="none"/>
        </w:rPr>
        <w:t>2.9</w:t>
      </w:r>
      <w:r>
        <w:rPr>
          <w:rFonts w:hint="eastAsia" w:ascii="宋体" w:hAnsi="宋体" w:cs="宋体"/>
          <w:color w:val="auto"/>
          <w:szCs w:val="21"/>
          <w:highlight w:val="none"/>
        </w:rPr>
        <w:t>“负偏离”，是指响应文件对磋商文件“采购需求”中有关条款作出的响应不满足条款要求，导致采购人要求不能得到满足的情形。</w:t>
      </w:r>
    </w:p>
    <w:p w14:paraId="1EBED77D">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2.10“允许负偏离的条款”是指采购需求中的不属于“实质性要求”的条款。</w:t>
      </w:r>
    </w:p>
    <w:p w14:paraId="1D23CE6A">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w:t>
      </w:r>
      <w:r>
        <w:rPr>
          <w:rFonts w:ascii="宋体" w:hAnsi="宋体" w:cs="宋体"/>
          <w:color w:val="auto"/>
          <w:szCs w:val="21"/>
          <w:highlight w:val="none"/>
        </w:rPr>
        <w:t>11</w:t>
      </w:r>
      <w:r>
        <w:rPr>
          <w:rFonts w:hint="eastAsia" w:ascii="宋体" w:hAnsi="宋体" w:cs="宋体"/>
          <w:color w:val="auto"/>
          <w:szCs w:val="21"/>
          <w:highlight w:val="none"/>
        </w:rPr>
        <w:t>“书面形式”是指合同书、信件和数据电文（包括电报、电传、传真、电子数据交换和电子邮件）等可以有形地表现所载内容的形式。</w:t>
      </w:r>
    </w:p>
    <w:p w14:paraId="2F702F06">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w:t>
      </w:r>
      <w:r>
        <w:rPr>
          <w:rFonts w:ascii="宋体" w:hAnsi="宋体" w:cs="宋体"/>
          <w:color w:val="auto"/>
          <w:szCs w:val="21"/>
          <w:highlight w:val="none"/>
        </w:rPr>
        <w:t>12</w:t>
      </w:r>
      <w:r>
        <w:rPr>
          <w:rFonts w:hint="eastAsia" w:ascii="宋体" w:hAnsi="宋体" w:cs="宋体"/>
          <w:color w:val="auto"/>
          <w:szCs w:val="21"/>
          <w:highlight w:val="none"/>
        </w:rPr>
        <w:t>“首次报价”是指供应商提交的首次响应文件中的报价。</w:t>
      </w:r>
    </w:p>
    <w:p w14:paraId="6D9D75C0">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2.1</w:t>
      </w:r>
      <w:r>
        <w:rPr>
          <w:rFonts w:ascii="宋体" w:hAnsi="宋体" w:cs="宋体"/>
          <w:color w:val="auto"/>
          <w:szCs w:val="21"/>
          <w:highlight w:val="none"/>
        </w:rPr>
        <w:t>3</w:t>
      </w:r>
      <w:r>
        <w:rPr>
          <w:rFonts w:hint="eastAsia" w:ascii="宋体" w:hAnsi="宋体" w:cs="宋体"/>
          <w:color w:val="auto"/>
          <w:szCs w:val="21"/>
          <w:highlight w:val="none"/>
        </w:rPr>
        <w:t>“评审价”是指供应商提交的最后报价并经修正（如有）和政策功能价格扣除（如有）后的价格。</w:t>
      </w:r>
    </w:p>
    <w:p w14:paraId="7C351D52">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3.供应商的资格条件</w:t>
      </w:r>
    </w:p>
    <w:p w14:paraId="6407D964">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供应商的资格条件详见“供应商须知前附表”。</w:t>
      </w:r>
    </w:p>
    <w:p w14:paraId="3314B7E1">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4.竞标费用</w:t>
      </w:r>
    </w:p>
    <w:p w14:paraId="1CCA91A1">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供应商应承担参与本次采购活动有关的所有费用，包括但不限于获取磋商文件、勘查现场、编制和提交响应文件、参加磋商与应答、签订合同等，不论竞标结果如何，均应自行承担。</w:t>
      </w:r>
    </w:p>
    <w:p w14:paraId="17C479F8">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5.联合体竞标</w:t>
      </w:r>
    </w:p>
    <w:p w14:paraId="14129A77">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5.1本项目不接受联合体竞标。</w:t>
      </w:r>
    </w:p>
    <w:p w14:paraId="2F86D1B3">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 xml:space="preserve">6.转包与分包             </w:t>
      </w:r>
    </w:p>
    <w:p w14:paraId="1D2F8A4A">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6.1本项目不允许转包和分包。</w:t>
      </w:r>
    </w:p>
    <w:p w14:paraId="33823FB5">
      <w:pPr>
        <w:spacing w:line="440" w:lineRule="exact"/>
        <w:ind w:firstLine="482" w:firstLineChars="200"/>
        <w:rPr>
          <w:rFonts w:ascii="黑体" w:hAnsi="黑体" w:eastAsia="黑体" w:cs="宋体"/>
          <w:b/>
          <w:bCs/>
          <w:color w:val="auto"/>
          <w:sz w:val="24"/>
          <w:highlight w:val="none"/>
        </w:rPr>
      </w:pPr>
      <w:bookmarkStart w:id="65" w:name="_Toc254970532"/>
      <w:bookmarkStart w:id="66" w:name="_Toc254970673"/>
      <w:r>
        <w:rPr>
          <w:rFonts w:hint="eastAsia" w:ascii="黑体" w:hAnsi="黑体" w:eastAsia="黑体" w:cs="宋体"/>
          <w:b/>
          <w:bCs/>
          <w:color w:val="auto"/>
          <w:sz w:val="24"/>
          <w:highlight w:val="none"/>
        </w:rPr>
        <w:t>7.特别说明</w:t>
      </w:r>
      <w:bookmarkEnd w:id="65"/>
      <w:bookmarkEnd w:id="66"/>
    </w:p>
    <w:p w14:paraId="397843B5">
      <w:pPr>
        <w:spacing w:line="440" w:lineRule="exact"/>
        <w:ind w:firstLine="422" w:firstLineChars="200"/>
        <w:rPr>
          <w:rFonts w:ascii="宋体" w:hAnsi="宋体" w:cs="宋体"/>
          <w:b/>
          <w:bCs/>
          <w:color w:val="auto"/>
          <w:szCs w:val="21"/>
          <w:highlight w:val="none"/>
        </w:rPr>
      </w:pPr>
      <w:bookmarkStart w:id="67" w:name="_8.1提供相同品牌产品且通过资格审查、符合性审查的不同投标人参加同一合"/>
      <w:bookmarkEnd w:id="67"/>
      <w:r>
        <w:rPr>
          <w:rFonts w:hint="eastAsia" w:ascii="宋体" w:hAnsi="宋体" w:cs="宋体"/>
          <w:b/>
          <w:bCs/>
          <w:color w:val="auto"/>
          <w:szCs w:val="21"/>
          <w:highlight w:val="none"/>
        </w:rPr>
        <w:t>7.1如果本磋商文件要求供应商提供资格、信誉、荣誉、业绩与企业认证等材料的，则供应商所提供的以上材料必须为供应商所拥有且为真实的。</w:t>
      </w:r>
    </w:p>
    <w:p w14:paraId="03D44943">
      <w:pPr>
        <w:spacing w:line="440" w:lineRule="exact"/>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7.2供应商应仔细阅读磋商文件的所有内容，按照磋商文件的要求提交响应文件，并对所提供的全部资料的真实性承担法律责任。</w:t>
      </w:r>
    </w:p>
    <w:p w14:paraId="0648F377">
      <w:pPr>
        <w:spacing w:line="440" w:lineRule="exact"/>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7.3供应商在竞标活动中提供任何虚假材料，将报监管部门查处；签订合同后发现的，采购人有权向监督管理部门报告，成交供应商须按2年预算金额20%向甲方支付违约金，并不免除违法供应商的行政与刑事责任。</w:t>
      </w:r>
    </w:p>
    <w:p w14:paraId="5310DFB8">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7.</w:t>
      </w:r>
      <w:r>
        <w:rPr>
          <w:rFonts w:ascii="宋体" w:hAnsi="宋体" w:cs="宋体"/>
          <w:color w:val="auto"/>
          <w:szCs w:val="21"/>
          <w:highlight w:val="none"/>
        </w:rPr>
        <w:t>4</w:t>
      </w:r>
      <w:r>
        <w:rPr>
          <w:rFonts w:hint="eastAsia" w:ascii="宋体" w:hAnsi="宋体" w:cs="宋体"/>
          <w:color w:val="auto"/>
          <w:szCs w:val="21"/>
          <w:highlight w:val="none"/>
        </w:rPr>
        <w:t>在政府采购活动中，采购人员及相关人员与供应商有下列利害关系之一的，应当回避：</w:t>
      </w:r>
    </w:p>
    <w:p w14:paraId="239E283C">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（1）参加采购活动前3年内与供应商存在劳动关系；</w:t>
      </w:r>
    </w:p>
    <w:p w14:paraId="371E006E">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（2）参加采购活动前3年内担任供应商的董事、监事；</w:t>
      </w:r>
    </w:p>
    <w:p w14:paraId="081BC1CA">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（3）参加采购活动前3年内是供应商的控股股东或者实际控制人；</w:t>
      </w:r>
    </w:p>
    <w:p w14:paraId="2C660BDE">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（4）与供应商的法定代表人或者负责人有夫妻、直系血亲、三代以内旁系血亲或者近姻亲关系；</w:t>
      </w:r>
    </w:p>
    <w:p w14:paraId="5A201051">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（5）与供应商有其他可能影响政府采购活动公平、公正进行的关系。</w:t>
      </w:r>
    </w:p>
    <w:p w14:paraId="2A26939C">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供应商认为采购人员及相关人员与其他供应商有利害关系的，可以向采购人或者采购代理机构书面提出回避申请，并说明理由。采购人或者采购代理机构应当及时询问被申请回避人员，有利害关系的被申请回避人员应当回避。</w:t>
      </w:r>
    </w:p>
    <w:p w14:paraId="70CCBFF9">
      <w:pPr>
        <w:spacing w:line="440" w:lineRule="exact"/>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7.</w:t>
      </w:r>
      <w:r>
        <w:rPr>
          <w:rFonts w:ascii="宋体" w:hAnsi="宋体" w:cs="宋体"/>
          <w:b/>
          <w:bCs/>
          <w:color w:val="auto"/>
          <w:szCs w:val="21"/>
          <w:highlight w:val="none"/>
        </w:rPr>
        <w:t>5</w:t>
      </w:r>
      <w:r>
        <w:rPr>
          <w:rFonts w:hint="eastAsia" w:ascii="宋体" w:hAnsi="宋体" w:cs="宋体"/>
          <w:b/>
          <w:bCs/>
          <w:color w:val="auto"/>
          <w:szCs w:val="21"/>
          <w:highlight w:val="none"/>
        </w:rPr>
        <w:t>有下列情形之一的视为供应商相互串通竞标，响应文件将被视为无效：</w:t>
      </w:r>
    </w:p>
    <w:p w14:paraId="4B8061B6">
      <w:pPr>
        <w:spacing w:line="440" w:lineRule="exact"/>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（1）不同供应商的响应文件由同一单位或者个人编制；或者不同供应商报名的IP地址一致的；</w:t>
      </w:r>
    </w:p>
    <w:p w14:paraId="17745449">
      <w:pPr>
        <w:spacing w:line="440" w:lineRule="exact"/>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（2）不同供应商委托同一单位或者个人办理竞标事宜；</w:t>
      </w:r>
    </w:p>
    <w:p w14:paraId="3ED80616">
      <w:pPr>
        <w:spacing w:line="440" w:lineRule="exact"/>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（3）不同的供应商的响应文件载明的项目管理员为同一个人；</w:t>
      </w:r>
    </w:p>
    <w:p w14:paraId="1D3EDA73">
      <w:pPr>
        <w:spacing w:line="440" w:lineRule="exact"/>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（4）不同供应商的响应文件异常一致或者报价呈规律性差异；</w:t>
      </w:r>
    </w:p>
    <w:p w14:paraId="0C9AA638">
      <w:pPr>
        <w:spacing w:line="440" w:lineRule="exact"/>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（5）不同供应商的响应文件相互混装；</w:t>
      </w:r>
    </w:p>
    <w:p w14:paraId="2C61019F">
      <w:pPr>
        <w:tabs>
          <w:tab w:val="left" w:pos="6931"/>
        </w:tabs>
        <w:spacing w:line="440" w:lineRule="exact"/>
        <w:ind w:firstLine="422" w:firstLineChars="200"/>
        <w:rPr>
          <w:rFonts w:ascii="宋体" w:hAnsi="宋体" w:cs="宋体"/>
          <w:color w:val="auto"/>
          <w:szCs w:val="21"/>
          <w:highlight w:val="none"/>
        </w:rPr>
      </w:pPr>
      <w:r>
        <w:rPr>
          <w:rFonts w:hint="eastAsia" w:ascii="宋体" w:hAnsi="宋体" w:cs="宋体"/>
          <w:b/>
          <w:bCs/>
          <w:color w:val="auto"/>
          <w:szCs w:val="21"/>
          <w:highlight w:val="none"/>
        </w:rPr>
        <w:t>（6）不同供应商的磋商保证金从同一单位或者个人账户转出。</w:t>
      </w:r>
      <w:r>
        <w:rPr>
          <w:rFonts w:ascii="宋体" w:hAnsi="宋体" w:cs="宋体"/>
          <w:color w:val="auto"/>
          <w:szCs w:val="21"/>
          <w:highlight w:val="none"/>
        </w:rPr>
        <w:tab/>
      </w:r>
    </w:p>
    <w:p w14:paraId="459766E4">
      <w:pPr>
        <w:spacing w:line="440" w:lineRule="exact"/>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7.</w:t>
      </w:r>
      <w:r>
        <w:rPr>
          <w:rFonts w:ascii="宋体" w:hAnsi="宋体" w:cs="宋体"/>
          <w:b/>
          <w:bCs/>
          <w:color w:val="auto"/>
          <w:szCs w:val="21"/>
          <w:highlight w:val="none"/>
        </w:rPr>
        <w:t>6</w:t>
      </w:r>
      <w:r>
        <w:rPr>
          <w:rFonts w:hint="eastAsia" w:ascii="宋体" w:hAnsi="宋体" w:cs="宋体"/>
          <w:b/>
          <w:bCs/>
          <w:color w:val="auto"/>
          <w:szCs w:val="21"/>
          <w:highlight w:val="none"/>
        </w:rPr>
        <w:t>供应商有下列情形之一的，属于恶意串通行为，将报同级监督管理部门：</w:t>
      </w:r>
    </w:p>
    <w:p w14:paraId="3A48B9BF">
      <w:pPr>
        <w:spacing w:line="440" w:lineRule="exact"/>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（1）供应商直接或者间接从采购人或者采购代理机构处获得其他供应商的相关信息并修改其响应文件；</w:t>
      </w:r>
    </w:p>
    <w:p w14:paraId="249BA91C">
      <w:pPr>
        <w:spacing w:line="440" w:lineRule="exact"/>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（2）供应商按照采购人或者采购代理机构的授意撤换、修改响应文件；</w:t>
      </w:r>
    </w:p>
    <w:p w14:paraId="2FA41A43">
      <w:pPr>
        <w:spacing w:line="440" w:lineRule="exact"/>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（3）供应商之间协商报价、技术方案等响应文件或者响应文件的实质性内容；</w:t>
      </w:r>
    </w:p>
    <w:p w14:paraId="78C52742">
      <w:pPr>
        <w:spacing w:line="440" w:lineRule="exact"/>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（4）属于同一集团、协会、商会等组织成员的供应商按照该组织要求协同参加政府采购活动；</w:t>
      </w:r>
    </w:p>
    <w:p w14:paraId="0C5B6258">
      <w:pPr>
        <w:spacing w:line="440" w:lineRule="exact"/>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（5）供应商之间事先约定一致抬高或者压低报价，或者在政府采购活动中事先约定轮流以高价位或者低价位成交，或者事先约定由某一特定供应商成交，然后再参加竞标；</w:t>
      </w:r>
    </w:p>
    <w:p w14:paraId="512B1ED5">
      <w:pPr>
        <w:spacing w:line="440" w:lineRule="exact"/>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（6）供应商之间商定部分供应商放弃参加政府采购活动或者放弃成交；</w:t>
      </w:r>
    </w:p>
    <w:p w14:paraId="1F6B0556">
      <w:pPr>
        <w:spacing w:line="440" w:lineRule="exact"/>
        <w:ind w:firstLine="422" w:firstLineChars="200"/>
        <w:rPr>
          <w:rFonts w:ascii="宋体" w:hAnsi="宋体" w:cs="宋体"/>
          <w:b/>
          <w:bCs/>
          <w:color w:val="auto"/>
          <w:szCs w:val="21"/>
          <w:highlight w:val="none"/>
        </w:rPr>
      </w:pPr>
      <w:r>
        <w:rPr>
          <w:rFonts w:hint="eastAsia" w:ascii="宋体" w:hAnsi="宋体" w:cs="宋体"/>
          <w:b/>
          <w:bCs/>
          <w:color w:val="auto"/>
          <w:szCs w:val="21"/>
          <w:highlight w:val="none"/>
        </w:rPr>
        <w:t>（7）供应商与采购人或者采购代理机构之间、供应商相互之间，为谋求特定供应商成交或者排斥其他供应商的其他串通行为。</w:t>
      </w:r>
    </w:p>
    <w:p w14:paraId="1FACAB7B">
      <w:pPr>
        <w:spacing w:line="440" w:lineRule="exact"/>
        <w:ind w:left="1" w:firstLine="417" w:firstLineChars="199"/>
        <w:jc w:val="center"/>
        <w:rPr>
          <w:rFonts w:ascii="宋体" w:hAnsi="宋体"/>
          <w:color w:val="auto"/>
          <w:highlight w:val="none"/>
        </w:rPr>
      </w:pPr>
      <w:bookmarkStart w:id="68" w:name="_Toc254970675"/>
      <w:bookmarkStart w:id="69" w:name="_Toc254970534"/>
    </w:p>
    <w:p w14:paraId="323F4EFB">
      <w:pPr>
        <w:spacing w:line="440" w:lineRule="exact"/>
        <w:jc w:val="center"/>
        <w:rPr>
          <w:rFonts w:ascii="宋体" w:hAnsi="宋体"/>
          <w:b/>
          <w:bCs/>
          <w:color w:val="auto"/>
          <w:sz w:val="32"/>
          <w:szCs w:val="32"/>
          <w:highlight w:val="none"/>
        </w:rPr>
      </w:pPr>
      <w:r>
        <w:rPr>
          <w:rFonts w:hint="eastAsia" w:ascii="宋体" w:hAnsi="宋体"/>
          <w:b/>
          <w:bCs/>
          <w:color w:val="auto"/>
          <w:sz w:val="32"/>
          <w:szCs w:val="32"/>
          <w:highlight w:val="none"/>
        </w:rPr>
        <w:t>二、磋商文件</w:t>
      </w:r>
      <w:bookmarkEnd w:id="68"/>
      <w:bookmarkEnd w:id="69"/>
    </w:p>
    <w:p w14:paraId="29CDEC16">
      <w:pPr>
        <w:spacing w:line="440" w:lineRule="exact"/>
        <w:jc w:val="center"/>
        <w:rPr>
          <w:rFonts w:ascii="宋体" w:hAnsi="宋体"/>
          <w:color w:val="auto"/>
          <w:szCs w:val="21"/>
          <w:highlight w:val="none"/>
        </w:rPr>
      </w:pPr>
    </w:p>
    <w:p w14:paraId="4D682FD6">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8.磋商文件的构成</w:t>
      </w:r>
    </w:p>
    <w:p w14:paraId="5FEC2C1D">
      <w:pPr>
        <w:spacing w:line="440" w:lineRule="exact"/>
        <w:ind w:firstLine="420" w:firstLineChars="200"/>
        <w:jc w:val="left"/>
        <w:rPr>
          <w:rFonts w:ascii="宋体" w:hAnsi="宋体"/>
          <w:color w:val="auto"/>
          <w:szCs w:val="21"/>
          <w:highlight w:val="none"/>
        </w:rPr>
      </w:pPr>
      <w:r>
        <w:rPr>
          <w:rFonts w:hint="eastAsia" w:ascii="宋体" w:hAnsi="宋体"/>
          <w:color w:val="auto"/>
          <w:szCs w:val="21"/>
          <w:highlight w:val="none"/>
        </w:rPr>
        <w:t>（1）竞争性磋商公告；</w:t>
      </w:r>
    </w:p>
    <w:p w14:paraId="176B7D0A">
      <w:pPr>
        <w:spacing w:line="440" w:lineRule="exact"/>
        <w:ind w:firstLine="420" w:firstLineChars="200"/>
        <w:jc w:val="left"/>
        <w:rPr>
          <w:rFonts w:ascii="宋体" w:hAnsi="宋体"/>
          <w:color w:val="auto"/>
          <w:szCs w:val="21"/>
          <w:highlight w:val="none"/>
        </w:rPr>
      </w:pPr>
      <w:r>
        <w:rPr>
          <w:rFonts w:hint="eastAsia" w:ascii="宋体" w:hAnsi="宋体"/>
          <w:color w:val="auto"/>
          <w:szCs w:val="21"/>
          <w:highlight w:val="none"/>
        </w:rPr>
        <w:t xml:space="preserve">（2）供应商须知； </w:t>
      </w:r>
    </w:p>
    <w:p w14:paraId="032EA615">
      <w:pPr>
        <w:spacing w:line="440" w:lineRule="exact"/>
        <w:ind w:firstLine="420" w:firstLineChars="200"/>
        <w:jc w:val="left"/>
        <w:rPr>
          <w:rFonts w:ascii="宋体" w:hAnsi="宋体"/>
          <w:color w:val="auto"/>
          <w:szCs w:val="21"/>
          <w:highlight w:val="none"/>
        </w:rPr>
      </w:pPr>
      <w:r>
        <w:rPr>
          <w:rFonts w:hint="eastAsia" w:ascii="宋体" w:hAnsi="宋体"/>
          <w:color w:val="auto"/>
          <w:szCs w:val="21"/>
          <w:highlight w:val="none"/>
        </w:rPr>
        <w:t>（3）采购需求；</w:t>
      </w:r>
    </w:p>
    <w:p w14:paraId="4ABC508D">
      <w:pPr>
        <w:spacing w:line="440" w:lineRule="exact"/>
        <w:ind w:firstLine="420" w:firstLineChars="200"/>
        <w:jc w:val="left"/>
        <w:rPr>
          <w:rFonts w:ascii="宋体" w:hAnsi="宋体"/>
          <w:color w:val="auto"/>
          <w:szCs w:val="21"/>
          <w:highlight w:val="none"/>
        </w:rPr>
      </w:pPr>
      <w:r>
        <w:rPr>
          <w:rFonts w:hint="eastAsia" w:ascii="宋体" w:hAnsi="宋体"/>
          <w:color w:val="auto"/>
          <w:szCs w:val="21"/>
          <w:highlight w:val="none"/>
        </w:rPr>
        <w:t>（4）评审程序、评审方法和评审标准；</w:t>
      </w:r>
    </w:p>
    <w:p w14:paraId="2B853F68">
      <w:pPr>
        <w:spacing w:line="440" w:lineRule="exact"/>
        <w:ind w:firstLine="420" w:firstLineChars="200"/>
        <w:jc w:val="left"/>
        <w:rPr>
          <w:rFonts w:ascii="宋体" w:hAnsi="宋体"/>
          <w:color w:val="auto"/>
          <w:szCs w:val="21"/>
          <w:highlight w:val="none"/>
        </w:rPr>
      </w:pPr>
      <w:r>
        <w:rPr>
          <w:rFonts w:hint="eastAsia" w:ascii="宋体" w:hAnsi="宋体"/>
          <w:color w:val="auto"/>
          <w:szCs w:val="21"/>
          <w:highlight w:val="none"/>
        </w:rPr>
        <w:t>（5）响应文件格式；</w:t>
      </w:r>
    </w:p>
    <w:p w14:paraId="5EFEDA87">
      <w:pPr>
        <w:spacing w:line="440" w:lineRule="exact"/>
        <w:ind w:firstLine="420" w:firstLineChars="200"/>
        <w:jc w:val="left"/>
        <w:rPr>
          <w:rFonts w:ascii="宋体" w:hAnsi="宋体"/>
          <w:color w:val="auto"/>
          <w:szCs w:val="21"/>
          <w:highlight w:val="none"/>
        </w:rPr>
      </w:pPr>
      <w:r>
        <w:rPr>
          <w:rFonts w:hint="eastAsia" w:ascii="宋体" w:hAnsi="宋体"/>
          <w:color w:val="auto"/>
          <w:szCs w:val="21"/>
          <w:highlight w:val="none"/>
        </w:rPr>
        <w:t>（6）合同文本。</w:t>
      </w:r>
    </w:p>
    <w:p w14:paraId="50A20F6D">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9.供应商的询问</w:t>
      </w:r>
    </w:p>
    <w:p w14:paraId="5B7A006D">
      <w:pPr>
        <w:spacing w:line="440" w:lineRule="exact"/>
        <w:ind w:firstLine="420" w:firstLineChars="200"/>
        <w:rPr>
          <w:rFonts w:ascii="宋体" w:hAnsi="宋体"/>
          <w:color w:val="auto"/>
          <w:szCs w:val="21"/>
          <w:highlight w:val="none"/>
        </w:rPr>
      </w:pPr>
      <w:r>
        <w:rPr>
          <w:rFonts w:hint="eastAsia" w:ascii="宋体" w:hAnsi="宋体"/>
          <w:color w:val="auto"/>
          <w:szCs w:val="21"/>
          <w:highlight w:val="none"/>
        </w:rPr>
        <w:t>供应商应认真阅读磋商文件的采购需求，如供应商对磋商文件有疑问的，如要求采购人作出澄清或者修改的，供应商尽可能在</w:t>
      </w:r>
      <w:r>
        <w:rPr>
          <w:rFonts w:ascii="宋体" w:hAnsi="宋体"/>
          <w:color w:val="auto"/>
          <w:szCs w:val="21"/>
          <w:highlight w:val="none"/>
        </w:rPr>
        <w:t>提交首次响应文件截止之日前</w:t>
      </w:r>
      <w:r>
        <w:rPr>
          <w:rFonts w:hint="eastAsia" w:ascii="宋体" w:hAnsi="宋体"/>
          <w:color w:val="auto"/>
          <w:szCs w:val="21"/>
          <w:highlight w:val="none"/>
        </w:rPr>
        <w:t>，以书面形式向</w:t>
      </w:r>
      <w:r>
        <w:rPr>
          <w:rFonts w:ascii="宋体" w:hAnsi="宋体"/>
          <w:color w:val="auto"/>
          <w:szCs w:val="21"/>
          <w:highlight w:val="none"/>
        </w:rPr>
        <w:t>采购人、采购代理机构</w:t>
      </w:r>
      <w:r>
        <w:rPr>
          <w:rFonts w:hint="eastAsia" w:ascii="宋体" w:hAnsi="宋体"/>
          <w:color w:val="auto"/>
          <w:szCs w:val="21"/>
          <w:highlight w:val="none"/>
        </w:rPr>
        <w:t>提出。</w:t>
      </w:r>
    </w:p>
    <w:p w14:paraId="367CFE13">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10.磋商文件的澄清和修改</w:t>
      </w:r>
    </w:p>
    <w:p w14:paraId="1E40D502">
      <w:pPr>
        <w:spacing w:line="440" w:lineRule="exact"/>
        <w:ind w:firstLine="420" w:firstLineChars="200"/>
        <w:rPr>
          <w:rFonts w:ascii="宋体" w:hAnsi="宋体"/>
          <w:color w:val="auto"/>
          <w:szCs w:val="21"/>
          <w:highlight w:val="none"/>
        </w:rPr>
      </w:pPr>
      <w:r>
        <w:rPr>
          <w:rFonts w:ascii="宋体" w:hAnsi="宋体"/>
          <w:color w:val="auto"/>
          <w:szCs w:val="21"/>
          <w:highlight w:val="none"/>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或者磋商小组在提交首次响应文件截止之日</w:t>
      </w:r>
      <w:r>
        <w:rPr>
          <w:rFonts w:hint="eastAsia" w:ascii="宋体" w:hAnsi="宋体"/>
          <w:color w:val="auto"/>
          <w:szCs w:val="21"/>
          <w:highlight w:val="none"/>
          <w:lang w:val="en-US" w:eastAsia="zh-CN"/>
        </w:rPr>
        <w:t>5日</w:t>
      </w:r>
      <w:r>
        <w:rPr>
          <w:rFonts w:ascii="宋体" w:hAnsi="宋体"/>
          <w:color w:val="auto"/>
          <w:szCs w:val="21"/>
          <w:highlight w:val="none"/>
        </w:rPr>
        <w:t>前，以书面形式通知所有</w:t>
      </w:r>
      <w:r>
        <w:rPr>
          <w:rFonts w:hint="eastAsia" w:ascii="宋体" w:hAnsi="宋体"/>
          <w:color w:val="auto"/>
          <w:szCs w:val="21"/>
          <w:highlight w:val="none"/>
        </w:rPr>
        <w:t>获取</w:t>
      </w:r>
      <w:r>
        <w:rPr>
          <w:rFonts w:ascii="宋体" w:hAnsi="宋体"/>
          <w:color w:val="auto"/>
          <w:szCs w:val="21"/>
          <w:highlight w:val="none"/>
        </w:rPr>
        <w:t>磋商文件的供应商，不足</w:t>
      </w:r>
      <w:r>
        <w:rPr>
          <w:rFonts w:hint="eastAsia" w:ascii="宋体" w:hAnsi="宋体"/>
          <w:color w:val="auto"/>
          <w:szCs w:val="21"/>
          <w:highlight w:val="none"/>
          <w:lang w:val="en-US" w:eastAsia="zh-CN"/>
        </w:rPr>
        <w:t>5</w:t>
      </w:r>
      <w:r>
        <w:rPr>
          <w:rFonts w:ascii="宋体" w:hAnsi="宋体"/>
          <w:color w:val="auto"/>
          <w:szCs w:val="21"/>
          <w:highlight w:val="none"/>
        </w:rPr>
        <w:t>日的，采购人、采购代理机构应当顺延提交首次响应文件截止之日。</w:t>
      </w:r>
    </w:p>
    <w:p w14:paraId="418839A5">
      <w:pPr>
        <w:spacing w:line="440" w:lineRule="exact"/>
        <w:rPr>
          <w:rFonts w:ascii="宋体" w:hAnsi="宋体"/>
          <w:color w:val="auto"/>
          <w:szCs w:val="21"/>
          <w:highlight w:val="none"/>
        </w:rPr>
      </w:pPr>
    </w:p>
    <w:p w14:paraId="554D8AAD">
      <w:pPr>
        <w:spacing w:line="440" w:lineRule="exact"/>
        <w:jc w:val="center"/>
        <w:rPr>
          <w:rFonts w:ascii="宋体" w:hAnsi="宋体"/>
          <w:b/>
          <w:bCs/>
          <w:color w:val="auto"/>
          <w:szCs w:val="21"/>
          <w:highlight w:val="none"/>
        </w:rPr>
      </w:pPr>
      <w:r>
        <w:rPr>
          <w:rFonts w:hint="eastAsia" w:ascii="宋体" w:hAnsi="宋体"/>
          <w:b/>
          <w:bCs/>
          <w:color w:val="auto"/>
          <w:sz w:val="32"/>
          <w:szCs w:val="32"/>
          <w:highlight w:val="none"/>
        </w:rPr>
        <w:t>三、响应文件的编制</w:t>
      </w:r>
    </w:p>
    <w:p w14:paraId="7AC93486">
      <w:pPr>
        <w:spacing w:line="440" w:lineRule="exact"/>
        <w:rPr>
          <w:rFonts w:ascii="宋体" w:hAnsi="宋体"/>
          <w:color w:val="auto"/>
          <w:szCs w:val="21"/>
          <w:highlight w:val="none"/>
        </w:rPr>
      </w:pPr>
    </w:p>
    <w:p w14:paraId="53CAA7F8">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11.响应文件的编制原则</w:t>
      </w:r>
    </w:p>
    <w:p w14:paraId="7F504417">
      <w:pPr>
        <w:spacing w:line="440" w:lineRule="exact"/>
        <w:ind w:firstLine="422" w:firstLineChars="200"/>
        <w:rPr>
          <w:rFonts w:ascii="宋体" w:hAnsi="宋体" w:cs="宋体"/>
          <w:color w:val="auto"/>
          <w:szCs w:val="21"/>
          <w:highlight w:val="none"/>
        </w:rPr>
      </w:pPr>
      <w:r>
        <w:rPr>
          <w:rFonts w:hint="eastAsia" w:ascii="宋体" w:hAnsi="宋体" w:cs="宋体"/>
          <w:b/>
          <w:bCs/>
          <w:color w:val="auto"/>
          <w:szCs w:val="21"/>
          <w:highlight w:val="none"/>
        </w:rPr>
        <w:t>供应商必须按照磋商文件的要求编制响应文件，并对其提交的响应文件的真实性、合法性承担法律责任。</w:t>
      </w:r>
      <w:r>
        <w:rPr>
          <w:rFonts w:hint="eastAsia" w:ascii="宋体" w:hAnsi="宋体" w:cs="宋体"/>
          <w:color w:val="auto"/>
          <w:szCs w:val="21"/>
          <w:highlight w:val="none"/>
        </w:rPr>
        <w:t>响应文件必须对磋商文件作出实质性响应。</w:t>
      </w:r>
    </w:p>
    <w:p w14:paraId="4E7F1EC0">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12.响应文件的组成</w:t>
      </w:r>
    </w:p>
    <w:p w14:paraId="2F8ABF54">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12.1响应文件由资格证明文件、报价商务技术文件两部分组成。</w:t>
      </w:r>
    </w:p>
    <w:p w14:paraId="1C576257">
      <w:pPr>
        <w:spacing w:line="440" w:lineRule="exact"/>
        <w:ind w:left="840" w:leftChars="200" w:hanging="420" w:hangingChars="200"/>
        <w:rPr>
          <w:rFonts w:ascii="宋体" w:hAnsi="宋体" w:cs="宋体"/>
          <w:color w:val="auto"/>
          <w:szCs w:val="21"/>
          <w:highlight w:val="none"/>
        </w:rPr>
      </w:pPr>
      <w:r>
        <w:rPr>
          <w:rFonts w:hint="eastAsia" w:ascii="宋体" w:hAnsi="宋体" w:cs="宋体"/>
          <w:color w:val="auto"/>
          <w:szCs w:val="21"/>
          <w:highlight w:val="none"/>
        </w:rPr>
        <w:t>1</w:t>
      </w:r>
      <w:r>
        <w:rPr>
          <w:rFonts w:ascii="宋体" w:hAnsi="宋体" w:cs="宋体"/>
          <w:color w:val="auto"/>
          <w:szCs w:val="21"/>
          <w:highlight w:val="none"/>
        </w:rPr>
        <w:t>2.1.1</w:t>
      </w:r>
      <w:r>
        <w:rPr>
          <w:rFonts w:hint="eastAsia" w:ascii="宋体" w:hAnsi="宋体" w:cs="宋体"/>
          <w:color w:val="auto"/>
          <w:szCs w:val="21"/>
          <w:highlight w:val="none"/>
        </w:rPr>
        <w:t>资格证明文件：详见须知前附表</w:t>
      </w:r>
    </w:p>
    <w:p w14:paraId="34974E92">
      <w:pPr>
        <w:spacing w:line="440" w:lineRule="exact"/>
        <w:ind w:left="840" w:leftChars="200" w:hanging="420" w:hangingChars="200"/>
        <w:rPr>
          <w:rFonts w:ascii="宋体" w:hAnsi="宋体" w:cs="宋体"/>
          <w:color w:val="auto"/>
          <w:szCs w:val="21"/>
          <w:highlight w:val="none"/>
        </w:rPr>
      </w:pPr>
      <w:r>
        <w:rPr>
          <w:rFonts w:hint="eastAsia" w:ascii="宋体" w:hAnsi="宋体" w:cs="宋体"/>
          <w:color w:val="auto"/>
          <w:szCs w:val="21"/>
          <w:highlight w:val="none"/>
        </w:rPr>
        <w:t>1</w:t>
      </w:r>
      <w:r>
        <w:rPr>
          <w:rFonts w:ascii="宋体" w:hAnsi="宋体" w:cs="宋体"/>
          <w:color w:val="auto"/>
          <w:szCs w:val="21"/>
          <w:highlight w:val="none"/>
        </w:rPr>
        <w:t>2.1.2</w:t>
      </w:r>
      <w:r>
        <w:rPr>
          <w:rFonts w:hint="eastAsia" w:ascii="宋体" w:hAnsi="宋体" w:cs="宋体"/>
          <w:color w:val="auto"/>
          <w:szCs w:val="21"/>
          <w:highlight w:val="none"/>
        </w:rPr>
        <w:t>报价商务技术文件：详见须知前附表</w:t>
      </w:r>
    </w:p>
    <w:p w14:paraId="69DCF6C1">
      <w:pPr>
        <w:spacing w:line="440" w:lineRule="exact"/>
        <w:ind w:left="840" w:leftChars="200" w:hanging="420" w:hangingChars="200"/>
        <w:rPr>
          <w:rFonts w:ascii="宋体" w:hAnsi="宋体" w:cs="宋体"/>
          <w:color w:val="auto"/>
          <w:szCs w:val="21"/>
          <w:highlight w:val="none"/>
        </w:rPr>
      </w:pPr>
      <w:r>
        <w:rPr>
          <w:rFonts w:hint="eastAsia" w:ascii="宋体" w:hAnsi="宋体" w:cs="宋体"/>
          <w:color w:val="auto"/>
          <w:szCs w:val="21"/>
          <w:highlight w:val="none"/>
        </w:rPr>
        <w:t>12.</w:t>
      </w:r>
      <w:r>
        <w:rPr>
          <w:rFonts w:ascii="宋体" w:hAnsi="宋体" w:cs="宋体"/>
          <w:color w:val="auto"/>
          <w:szCs w:val="21"/>
          <w:highlight w:val="none"/>
        </w:rPr>
        <w:t>2</w:t>
      </w:r>
      <w:r>
        <w:rPr>
          <w:rFonts w:hint="eastAsia" w:ascii="宋体" w:hAnsi="宋体" w:cs="宋体"/>
          <w:color w:val="auto"/>
          <w:szCs w:val="21"/>
          <w:highlight w:val="none"/>
        </w:rPr>
        <w:t>响应文件电子版：详见须知前附表</w:t>
      </w:r>
    </w:p>
    <w:p w14:paraId="10166B52">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13.计量单位</w:t>
      </w:r>
    </w:p>
    <w:p w14:paraId="1E15E8B3">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磋商文件已有明确规定的，使用磋商文件规定的计量单位；磋商文件没有规定的，应采用中华人民共和国法定计量单位，货币种类为人民币，否则视同未响应。</w:t>
      </w:r>
    </w:p>
    <w:p w14:paraId="397C9B67">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14.竞标的风险</w:t>
      </w:r>
    </w:p>
    <w:p w14:paraId="4162BBF1">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供应商没有按照磋商文件要求提供全部资料，或者供应商没有对磋商文件在各方面作出实质性响应可能导致其响应无效，是供应商应当考虑的风险。</w:t>
      </w:r>
    </w:p>
    <w:p w14:paraId="68CB3F36">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15.竞标报价要求和构成</w:t>
      </w:r>
    </w:p>
    <w:p w14:paraId="6030C570">
      <w:pPr>
        <w:tabs>
          <w:tab w:val="left" w:pos="2492"/>
        </w:tabs>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15.1竞标报价应按磋商文件中“竞标报价表”格式填写。</w:t>
      </w:r>
    </w:p>
    <w:p w14:paraId="5583883E">
      <w:pPr>
        <w:tabs>
          <w:tab w:val="left" w:pos="2492"/>
        </w:tabs>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15.2竞标报价的价格构成见“供应商须知前附表”。</w:t>
      </w:r>
    </w:p>
    <w:p w14:paraId="616F26D5">
      <w:pPr>
        <w:spacing w:line="440" w:lineRule="exact"/>
        <w:ind w:left="426" w:leftChars="203"/>
        <w:rPr>
          <w:rFonts w:ascii="宋体" w:hAnsi="宋体" w:cs="宋体"/>
          <w:color w:val="auto"/>
          <w:szCs w:val="21"/>
          <w:highlight w:val="none"/>
        </w:rPr>
      </w:pPr>
      <w:r>
        <w:rPr>
          <w:rFonts w:hint="eastAsia" w:ascii="宋体" w:hAnsi="宋体" w:cs="宋体"/>
          <w:color w:val="auto"/>
          <w:szCs w:val="21"/>
          <w:highlight w:val="none"/>
        </w:rPr>
        <w:t>15.3竞标报价要求</w:t>
      </w:r>
    </w:p>
    <w:p w14:paraId="110CD414">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w:t>
      </w:r>
      <w:r>
        <w:rPr>
          <w:rFonts w:ascii="宋体" w:hAnsi="宋体" w:cs="宋体"/>
          <w:color w:val="auto"/>
          <w:szCs w:val="21"/>
          <w:highlight w:val="none"/>
        </w:rPr>
        <w:t>5.3.1</w:t>
      </w:r>
      <w:r>
        <w:rPr>
          <w:rFonts w:hint="eastAsia" w:ascii="宋体" w:hAnsi="宋体" w:cs="宋体"/>
          <w:color w:val="auto"/>
          <w:szCs w:val="21"/>
          <w:highlight w:val="none"/>
        </w:rPr>
        <w:t>供应商的竞标报价应符合以下要求，否则响应文件按无效响应处理：</w:t>
      </w:r>
    </w:p>
    <w:p w14:paraId="61737A45">
      <w:pPr>
        <w:spacing w:line="440" w:lineRule="exact"/>
        <w:ind w:left="420" w:leftChars="200"/>
        <w:rPr>
          <w:rFonts w:ascii="宋体" w:hAnsi="宋体" w:cs="宋体"/>
          <w:color w:val="auto"/>
          <w:szCs w:val="21"/>
          <w:highlight w:val="none"/>
        </w:rPr>
      </w:pPr>
      <w:r>
        <w:rPr>
          <w:rFonts w:hint="eastAsia" w:ascii="宋体" w:hAnsi="宋体" w:cs="宋体"/>
          <w:color w:val="auto"/>
          <w:szCs w:val="21"/>
          <w:highlight w:val="none"/>
        </w:rPr>
        <w:t>（1）供应商必须就“采购需求”中的全部内容分别作完整唯一总价报价，</w:t>
      </w:r>
    </w:p>
    <w:p w14:paraId="060B87FD">
      <w:pPr>
        <w:spacing w:line="440" w:lineRule="exact"/>
        <w:rPr>
          <w:rFonts w:ascii="宋体" w:hAnsi="宋体" w:cs="宋体"/>
          <w:color w:val="auto"/>
          <w:szCs w:val="21"/>
          <w:highlight w:val="none"/>
        </w:rPr>
      </w:pPr>
      <w:r>
        <w:rPr>
          <w:rFonts w:hint="eastAsia" w:ascii="宋体" w:hAnsi="宋体" w:cs="宋体"/>
          <w:color w:val="auto"/>
          <w:szCs w:val="21"/>
          <w:highlight w:val="none"/>
        </w:rPr>
        <w:t>不得存在漏项报价；</w:t>
      </w:r>
    </w:p>
    <w:p w14:paraId="15E80FAC">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w:t>
      </w:r>
      <w:r>
        <w:rPr>
          <w:rFonts w:ascii="宋体" w:hAnsi="宋体" w:cs="宋体"/>
          <w:color w:val="auto"/>
          <w:szCs w:val="21"/>
          <w:highlight w:val="none"/>
        </w:rPr>
        <w:t>2</w:t>
      </w:r>
      <w:r>
        <w:rPr>
          <w:rFonts w:hint="eastAsia" w:ascii="宋体" w:hAnsi="宋体" w:cs="宋体"/>
          <w:color w:val="auto"/>
          <w:szCs w:val="21"/>
          <w:highlight w:val="none"/>
        </w:rPr>
        <w:t>）供应商必须就所竞标的单项内容作唯一报价。</w:t>
      </w:r>
    </w:p>
    <w:p w14:paraId="70CFC2D1">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15.3.</w:t>
      </w:r>
      <w:r>
        <w:rPr>
          <w:rFonts w:ascii="宋体" w:hAnsi="宋体" w:cs="宋体"/>
          <w:color w:val="auto"/>
          <w:szCs w:val="21"/>
          <w:highlight w:val="none"/>
        </w:rPr>
        <w:t>2</w:t>
      </w:r>
      <w:r>
        <w:rPr>
          <w:rFonts w:hint="eastAsia" w:ascii="宋体" w:hAnsi="宋体" w:cs="宋体"/>
          <w:color w:val="auto"/>
          <w:szCs w:val="21"/>
          <w:highlight w:val="none"/>
        </w:rPr>
        <w:t>竞标报价（包含首次报价、最后报价）超过所竞标规定的采购预算金额或者最高限价的，其响应文件将作无效处理。</w:t>
      </w:r>
    </w:p>
    <w:p w14:paraId="3C37E7D4">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15.3.</w:t>
      </w:r>
      <w:r>
        <w:rPr>
          <w:rFonts w:ascii="宋体" w:hAnsi="宋体" w:cs="宋体"/>
          <w:color w:val="auto"/>
          <w:szCs w:val="21"/>
          <w:highlight w:val="none"/>
        </w:rPr>
        <w:t>3</w:t>
      </w:r>
      <w:bookmarkStart w:id="70" w:name="_Hlk42592874"/>
      <w:r>
        <w:rPr>
          <w:rFonts w:hint="eastAsia" w:ascii="宋体" w:hAnsi="宋体" w:cs="宋体"/>
          <w:color w:val="auto"/>
          <w:szCs w:val="21"/>
          <w:highlight w:val="none"/>
        </w:rPr>
        <w:t>竞标报价（包含首次报价、最后报价）超过分项采购预算金额或者最高限价的，其响应文件将作无效处理。</w:t>
      </w:r>
    </w:p>
    <w:bookmarkEnd w:id="70"/>
    <w:p w14:paraId="18A3C353">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16.竞标有效期</w:t>
      </w:r>
    </w:p>
    <w:p w14:paraId="497BEBBC">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16.1竞标有效期是指为保证采购人有足够的时间在提交响应文件后完成评审、确定成交供应商、合同签订等工作而要求供应商提交的响应文件在一定时间内保持有效的期限。</w:t>
      </w:r>
    </w:p>
    <w:p w14:paraId="7B9A83F4">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16.2 竞标有效期应由供应商按“供应商须知前附表”规定的期限作出响应。</w:t>
      </w:r>
    </w:p>
    <w:p w14:paraId="0D921221">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16.3供应商的响应文件在竞标有效期内均保持有效。</w:t>
      </w:r>
    </w:p>
    <w:p w14:paraId="5B022929">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17.磋商保证金</w:t>
      </w:r>
    </w:p>
    <w:p w14:paraId="19D21547">
      <w:pPr>
        <w:spacing w:line="440" w:lineRule="exact"/>
        <w:ind w:left="420" w:leftChars="200"/>
        <w:rPr>
          <w:rFonts w:ascii="宋体" w:hAnsi="宋体" w:cs="宋体"/>
          <w:color w:val="auto"/>
          <w:szCs w:val="21"/>
          <w:highlight w:val="none"/>
        </w:rPr>
      </w:pPr>
      <w:r>
        <w:rPr>
          <w:rFonts w:hint="eastAsia" w:ascii="宋体" w:hAnsi="宋体" w:cs="宋体"/>
          <w:color w:val="auto"/>
          <w:szCs w:val="21"/>
          <w:highlight w:val="none"/>
        </w:rPr>
        <w:t>17.1供应商须按“供应商须知前附表”的规定提交磋商保证金。</w:t>
      </w:r>
    </w:p>
    <w:p w14:paraId="40152916">
      <w:pPr>
        <w:spacing w:line="440" w:lineRule="exact"/>
        <w:ind w:left="420" w:leftChars="200"/>
        <w:rPr>
          <w:rFonts w:ascii="宋体" w:hAnsi="宋体" w:cs="宋体"/>
          <w:color w:val="auto"/>
          <w:szCs w:val="21"/>
          <w:highlight w:val="none"/>
        </w:rPr>
      </w:pPr>
      <w:r>
        <w:rPr>
          <w:rFonts w:hint="eastAsia" w:ascii="宋体" w:hAnsi="宋体" w:cs="宋体"/>
          <w:color w:val="auto"/>
          <w:szCs w:val="21"/>
          <w:highlight w:val="none"/>
        </w:rPr>
        <w:t>17.2磋商保证金的退还</w:t>
      </w:r>
    </w:p>
    <w:p w14:paraId="0AB2E1A1">
      <w:pPr>
        <w:spacing w:line="440" w:lineRule="exact"/>
        <w:ind w:left="315" w:leftChars="150" w:firstLine="105" w:firstLineChars="50"/>
        <w:rPr>
          <w:rFonts w:ascii="宋体" w:hAnsi="宋体" w:cs="宋体"/>
          <w:color w:val="auto"/>
          <w:szCs w:val="21"/>
          <w:highlight w:val="none"/>
        </w:rPr>
      </w:pPr>
      <w:r>
        <w:rPr>
          <w:rFonts w:hint="eastAsia" w:ascii="宋体" w:hAnsi="宋体" w:cs="宋体"/>
          <w:color w:val="auto"/>
          <w:szCs w:val="21"/>
          <w:highlight w:val="none"/>
        </w:rPr>
        <w:t>17.2.1未</w:t>
      </w:r>
      <w:r>
        <w:rPr>
          <w:rFonts w:hint="eastAsia" w:ascii="宋体" w:hAnsi="宋体" w:cs="宋体"/>
          <w:color w:val="auto"/>
          <w:spacing w:val="-6"/>
          <w:szCs w:val="21"/>
          <w:highlight w:val="none"/>
        </w:rPr>
        <w:t>成交供应商的磋商保证金自成交通知书发出之日起5个工作日内退还（无息），退还方式如下：</w:t>
      </w:r>
      <w:r>
        <w:rPr>
          <w:rFonts w:hint="eastAsia" w:ascii="宋体" w:hAnsi="宋体" w:cs="宋体"/>
          <w:color w:val="auto"/>
          <w:szCs w:val="21"/>
          <w:highlight w:val="none"/>
        </w:rPr>
        <w:t>（1）采用银行转账方式的，以转账方式退回到未成交供应商银行账户。</w:t>
      </w:r>
    </w:p>
    <w:p w14:paraId="0D29FD54">
      <w:pPr>
        <w:pStyle w:val="9"/>
        <w:spacing w:line="440" w:lineRule="exact"/>
        <w:ind w:firstLine="315" w:firstLineChars="150"/>
        <w:rPr>
          <w:rFonts w:ascii="宋体" w:hAnsi="宋体"/>
          <w:color w:val="auto"/>
          <w:szCs w:val="21"/>
          <w:highlight w:val="none"/>
        </w:rPr>
      </w:pPr>
      <w:r>
        <w:rPr>
          <w:rFonts w:hint="eastAsia" w:ascii="宋体" w:hAnsi="宋体" w:cs="宋体"/>
          <w:color w:val="auto"/>
          <w:szCs w:val="21"/>
          <w:highlight w:val="none"/>
        </w:rPr>
        <w:t>（2）</w:t>
      </w:r>
      <w:r>
        <w:rPr>
          <w:rFonts w:hint="eastAsia" w:ascii="宋体" w:hAnsi="宋体"/>
          <w:color w:val="auto"/>
          <w:szCs w:val="21"/>
          <w:highlight w:val="none"/>
        </w:rPr>
        <w:t>采用支票、汇票、本票或者金融、担保机构出具的保函方式的，由供应商代表持相关授权证明材料至采购人或者采购代理机构办理支票、汇票、本票或者金融、担保机构出具的保函原件退还手续。</w:t>
      </w:r>
    </w:p>
    <w:p w14:paraId="67772A97">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 xml:space="preserve">17.2.2成交供应商的磋商保证金自签订合同之日起5个工作日内退还（无息），退还方式同未成交供应商的磋商保证金的退还方式。 </w:t>
      </w:r>
    </w:p>
    <w:p w14:paraId="69145863">
      <w:pPr>
        <w:spacing w:line="440" w:lineRule="exact"/>
        <w:ind w:left="420" w:leftChars="200"/>
        <w:rPr>
          <w:rFonts w:ascii="宋体" w:hAnsi="宋体" w:cs="宋体"/>
          <w:color w:val="auto"/>
          <w:szCs w:val="21"/>
          <w:highlight w:val="none"/>
        </w:rPr>
      </w:pPr>
      <w:r>
        <w:rPr>
          <w:rFonts w:hint="eastAsia" w:ascii="宋体" w:hAnsi="宋体" w:cs="宋体"/>
          <w:color w:val="auto"/>
          <w:szCs w:val="21"/>
          <w:highlight w:val="none"/>
        </w:rPr>
        <w:t>17.3磋商保证金不计息。</w:t>
      </w:r>
    </w:p>
    <w:p w14:paraId="0862D4E1">
      <w:pPr>
        <w:spacing w:line="440" w:lineRule="exact"/>
        <w:ind w:left="420" w:leftChars="200"/>
        <w:rPr>
          <w:rFonts w:ascii="宋体" w:hAnsi="宋体" w:cs="宋体"/>
          <w:color w:val="auto"/>
          <w:szCs w:val="21"/>
          <w:highlight w:val="none"/>
        </w:rPr>
      </w:pPr>
      <w:r>
        <w:rPr>
          <w:rFonts w:hint="eastAsia" w:ascii="宋体" w:hAnsi="宋体" w:cs="宋体"/>
          <w:color w:val="auto"/>
          <w:szCs w:val="21"/>
          <w:highlight w:val="none"/>
        </w:rPr>
        <w:t xml:space="preserve">17.4供应商有下列情形之一的，磋商保证金将不予退还： </w:t>
      </w:r>
    </w:p>
    <w:p w14:paraId="33A76981">
      <w:pPr>
        <w:spacing w:line="440" w:lineRule="exact"/>
        <w:ind w:left="420" w:leftChars="200"/>
        <w:rPr>
          <w:rFonts w:ascii="宋体" w:hAnsi="宋体" w:cs="宋体"/>
          <w:color w:val="auto"/>
          <w:szCs w:val="21"/>
          <w:highlight w:val="none"/>
        </w:rPr>
      </w:pPr>
      <w:r>
        <w:rPr>
          <w:rFonts w:hint="eastAsia" w:ascii="宋体" w:hAnsi="宋体" w:cs="宋体"/>
          <w:color w:val="auto"/>
          <w:szCs w:val="21"/>
          <w:highlight w:val="none"/>
        </w:rPr>
        <w:t>（1）供应商在提交响应文件截止时间后撤回响应文件的；</w:t>
      </w:r>
    </w:p>
    <w:p w14:paraId="411CA543">
      <w:pPr>
        <w:spacing w:line="440" w:lineRule="exact"/>
        <w:ind w:left="420" w:leftChars="200"/>
        <w:rPr>
          <w:rFonts w:ascii="宋体" w:hAnsi="宋体" w:cs="宋体"/>
          <w:color w:val="auto"/>
          <w:szCs w:val="21"/>
          <w:highlight w:val="none"/>
        </w:rPr>
      </w:pPr>
      <w:r>
        <w:rPr>
          <w:rFonts w:hint="eastAsia" w:ascii="宋体" w:hAnsi="宋体" w:cs="宋体"/>
          <w:color w:val="auto"/>
          <w:szCs w:val="21"/>
          <w:highlight w:val="none"/>
        </w:rPr>
        <w:t>（2）供应商在响应文件中提供虚假材料的；</w:t>
      </w:r>
    </w:p>
    <w:p w14:paraId="68845E47">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（3）除因不可抗力或者磋商文件认可的情形以外，成交供应商不与采购人签订合同的；</w:t>
      </w:r>
    </w:p>
    <w:p w14:paraId="35C12760">
      <w:pPr>
        <w:spacing w:line="440" w:lineRule="exact"/>
        <w:ind w:left="420" w:leftChars="200"/>
        <w:rPr>
          <w:rFonts w:ascii="宋体" w:hAnsi="宋体" w:cs="宋体"/>
          <w:color w:val="auto"/>
          <w:szCs w:val="21"/>
          <w:highlight w:val="none"/>
        </w:rPr>
      </w:pPr>
      <w:r>
        <w:rPr>
          <w:rFonts w:hint="eastAsia" w:ascii="宋体" w:hAnsi="宋体" w:cs="宋体"/>
          <w:color w:val="auto"/>
          <w:szCs w:val="21"/>
          <w:highlight w:val="none"/>
        </w:rPr>
        <w:t>（4）供应商与采购人、其他供应商或者采购代理机构恶意串通的；</w:t>
      </w:r>
    </w:p>
    <w:p w14:paraId="6B0C74F7">
      <w:pPr>
        <w:spacing w:line="440" w:lineRule="exact"/>
        <w:ind w:left="420" w:leftChars="200"/>
        <w:rPr>
          <w:rFonts w:ascii="宋体" w:hAnsi="宋体" w:cs="宋体"/>
          <w:color w:val="auto"/>
          <w:szCs w:val="21"/>
          <w:highlight w:val="none"/>
        </w:rPr>
      </w:pPr>
      <w:r>
        <w:rPr>
          <w:rFonts w:hint="eastAsia" w:ascii="宋体" w:hAnsi="宋体" w:cs="宋体"/>
          <w:color w:val="auto"/>
          <w:szCs w:val="21"/>
          <w:highlight w:val="none"/>
        </w:rPr>
        <w:t>（5）磋商文件规定的其他情形。</w:t>
      </w:r>
    </w:p>
    <w:p w14:paraId="53C1BBFD">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18.响应文件编制的要求</w:t>
      </w:r>
    </w:p>
    <w:p w14:paraId="2120D71C">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18.1供应商应按本磋商文件规定的格式和顺序编制、装订响应文件并标注页码，响应文件内容</w:t>
      </w:r>
      <w:r>
        <w:rPr>
          <w:rFonts w:hint="eastAsia" w:ascii="宋体" w:hAnsi="宋体" w:cs="宋体"/>
          <w:color w:val="auto"/>
          <w:spacing w:val="-6"/>
          <w:szCs w:val="21"/>
          <w:highlight w:val="none"/>
        </w:rPr>
        <w:t>不完整、编排混乱导致响应文件被误读、漏读或者查找不到相关内容的，</w:t>
      </w:r>
      <w:r>
        <w:rPr>
          <w:rFonts w:hint="eastAsia" w:ascii="宋体" w:hAnsi="宋体"/>
          <w:color w:val="auto"/>
          <w:highlight w:val="none"/>
        </w:rPr>
        <w:t>由此引发的</w:t>
      </w:r>
      <w:r>
        <w:rPr>
          <w:rFonts w:hint="eastAsia" w:ascii="宋体" w:hAnsi="宋体" w:cs="宋体"/>
          <w:color w:val="auto"/>
          <w:spacing w:val="-6"/>
          <w:szCs w:val="21"/>
          <w:highlight w:val="none"/>
        </w:rPr>
        <w:t>后果由供应商承担。</w:t>
      </w:r>
    </w:p>
    <w:p w14:paraId="406AB540">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18.</w:t>
      </w:r>
      <w:r>
        <w:rPr>
          <w:rFonts w:hint="eastAsia" w:ascii="宋体" w:hAnsi="宋体" w:cs="宋体"/>
          <w:color w:val="auto"/>
          <w:spacing w:val="-6"/>
          <w:szCs w:val="21"/>
          <w:highlight w:val="none"/>
        </w:rPr>
        <w:t>2响应文件应按资格证明文件、报价商务技术文件分别编制，资格证明文件、报价商务技术文件按顺序分别装订成册。响应文件（包含资格证明文件、报价商务技术文件）</w:t>
      </w:r>
      <w:r>
        <w:rPr>
          <w:rFonts w:hint="eastAsia" w:ascii="宋体" w:hAnsi="宋体" w:cs="宋体"/>
          <w:color w:val="auto"/>
          <w:szCs w:val="21"/>
          <w:highlight w:val="none"/>
        </w:rPr>
        <w:t>正本一份，副本份数详见“供应商须知前附表”，响应文件的封面应注明“正本”“副本”字样，提供响应文件正、副本数量不足的将按无效响应处理。由于响应文件装订松散而造成的丢失或者其他情况导致的不利后果由供应商自行承担。</w:t>
      </w:r>
    </w:p>
    <w:p w14:paraId="66B1EB23">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18.3响应文件的正本应打印或者用不褪色的墨水填写，响应文件正本除本“供应商须知”中规定的可提供复印件外均须提供原件，副本可为正本签字、盖章后的复印件，当副本和正本不一致时，以正本为准。</w:t>
      </w:r>
    </w:p>
    <w:p w14:paraId="7C7C2762">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18.4响应文件须由供应商在规定位置盖公章并由法定代表人或者委托代理人签字，否则其响应文件按无效响应处理。骑缝盖公章不视为在规定位置盖章。</w:t>
      </w:r>
    </w:p>
    <w:p w14:paraId="065173EA">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18.5响应文件中标注的供应商名称应与营业执照（事业单位法人证书、执业许可证、自然人身份证）及公章一致，否则其响应文件按无效响应处理。</w:t>
      </w:r>
    </w:p>
    <w:p w14:paraId="2F67FDBC">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18.6响应文件应尽量避免涂改、行间插字或者删除。如果出现上述情况，改动之处应由供应商的法定代表人或者其委托代理人签字或者加盖公章。响应文件因涂改、行间插字或者删除导致字迹潦草或者表达不清所引起的后果由供应商承担。</w:t>
      </w:r>
    </w:p>
    <w:p w14:paraId="2A8746B0">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19.响应文件的密封和标记</w:t>
      </w:r>
    </w:p>
    <w:p w14:paraId="60EFECCB">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19.1响应文件正、副本全部装入一个或者多个包封袋/箱（响应文件的补充、修改可另行单独递交）中并加以密封，封口处必须加盖供应商公章或者</w:t>
      </w:r>
      <w:r>
        <w:rPr>
          <w:rFonts w:hint="eastAsia" w:ascii="宋体" w:hAnsi="宋体" w:cs="宋体"/>
          <w:color w:val="auto"/>
          <w:highlight w:val="none"/>
        </w:rPr>
        <w:t>法定代表人签字</w:t>
      </w:r>
      <w:r>
        <w:rPr>
          <w:rFonts w:hint="eastAsia" w:ascii="宋体" w:hAnsi="宋体" w:cs="宋体"/>
          <w:color w:val="auto"/>
          <w:szCs w:val="21"/>
          <w:highlight w:val="none"/>
        </w:rPr>
        <w:t>或者委托代理人签字，以示密封</w:t>
      </w:r>
      <w:r>
        <w:rPr>
          <w:b/>
          <w:color w:val="auto"/>
          <w:szCs w:val="21"/>
          <w:highlight w:val="none"/>
        </w:rPr>
        <w:t>（密封要求达到不泄露供应商响应文件实质性内容为合格）</w:t>
      </w:r>
      <w:r>
        <w:rPr>
          <w:rFonts w:hint="eastAsia" w:ascii="宋体" w:hAnsi="宋体" w:cs="宋体"/>
          <w:color w:val="auto"/>
          <w:szCs w:val="21"/>
          <w:highlight w:val="none"/>
        </w:rPr>
        <w:t>。</w:t>
      </w:r>
    </w:p>
    <w:p w14:paraId="04971CCC">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19.2响应文件外层包装封面上应标记“项目名称、项目编号、供应商名称、首次响应文件提交截止时间前不得启封”字样。</w:t>
      </w:r>
    </w:p>
    <w:p w14:paraId="011530FF">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19.3未按上述规定密封的响应文件将被拒收。</w:t>
      </w:r>
    </w:p>
    <w:p w14:paraId="6CCA6BBA">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20.响应文件的提交</w:t>
      </w:r>
    </w:p>
    <w:p w14:paraId="2DC29DEF">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20.1供应商必须在“供应商须知前附表”规定的时间和地点提交响应文件。</w:t>
      </w:r>
    </w:p>
    <w:p w14:paraId="77B10549">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20.2采购代理机构工作人员收到响应文件后，应当如实记载响应文件的密封情况。</w:t>
      </w:r>
    </w:p>
    <w:p w14:paraId="3181B471">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20.3在</w:t>
      </w:r>
      <w:r>
        <w:rPr>
          <w:rFonts w:hint="eastAsia" w:ascii="宋体" w:hAnsi="宋体"/>
          <w:color w:val="auto"/>
          <w:szCs w:val="21"/>
          <w:highlight w:val="none"/>
        </w:rPr>
        <w:t>首次响应文件提交截止时间</w:t>
      </w:r>
      <w:r>
        <w:rPr>
          <w:rFonts w:hint="eastAsia" w:ascii="宋体" w:hAnsi="宋体" w:cs="宋体"/>
          <w:color w:val="auto"/>
          <w:szCs w:val="21"/>
          <w:highlight w:val="none"/>
        </w:rPr>
        <w:t>后送达的或者不符合本须知正文第1</w:t>
      </w:r>
      <w:r>
        <w:rPr>
          <w:rFonts w:ascii="宋体" w:hAnsi="宋体" w:cs="宋体"/>
          <w:color w:val="auto"/>
          <w:szCs w:val="21"/>
          <w:highlight w:val="none"/>
        </w:rPr>
        <w:t>9.3</w:t>
      </w:r>
      <w:r>
        <w:rPr>
          <w:rFonts w:hint="eastAsia" w:ascii="宋体" w:hAnsi="宋体" w:cs="宋体"/>
          <w:color w:val="auto"/>
          <w:szCs w:val="21"/>
          <w:highlight w:val="none"/>
        </w:rPr>
        <w:t>条的响应文件为无效文件，采购人或者采购代理机构应当拒收。</w:t>
      </w:r>
    </w:p>
    <w:p w14:paraId="20ECD890">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21.首次响应文件的补充、修改与撤回</w:t>
      </w:r>
    </w:p>
    <w:p w14:paraId="4A090A6B">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供应商在首次响应文件提交截止时间前，可以对所提交的响应文件进行补充、修改或者撤回，并书面通知采购人、采购代理机构。补充、修改的内容作为响应文件的组成部分。补充、修改的内容与响应文件不一致的，以补充、修改的内容为准。</w:t>
      </w:r>
    </w:p>
    <w:p w14:paraId="2FA26F22">
      <w:pPr>
        <w:spacing w:line="440" w:lineRule="exact"/>
        <w:ind w:firstLine="482" w:firstLineChars="200"/>
        <w:rPr>
          <w:rFonts w:ascii="黑体" w:hAnsi="黑体" w:eastAsia="黑体" w:cs="宋体"/>
          <w:b/>
          <w:bCs/>
          <w:color w:val="auto"/>
          <w:sz w:val="24"/>
          <w:highlight w:val="none"/>
        </w:rPr>
      </w:pPr>
      <w:bookmarkStart w:id="71" w:name="_Hlk45702405"/>
      <w:r>
        <w:rPr>
          <w:rFonts w:hint="eastAsia" w:ascii="黑体" w:hAnsi="黑体" w:eastAsia="黑体" w:cs="宋体"/>
          <w:b/>
          <w:bCs/>
          <w:color w:val="auto"/>
          <w:sz w:val="24"/>
          <w:highlight w:val="none"/>
        </w:rPr>
        <w:t>22. 首次响应文件的退回</w:t>
      </w:r>
    </w:p>
    <w:p w14:paraId="6D9FFF82">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在首次响应文件提交截止时间止提交响应文件的供应商不足3家时，应当由供应商签字领回响应文件，除此之外采购人和采购代理机构对已提交的响应文件概不退回。</w:t>
      </w:r>
    </w:p>
    <w:p w14:paraId="6CEDCED7">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23. 截止时间后的撤回</w:t>
      </w:r>
    </w:p>
    <w:p w14:paraId="4AF7F4F2">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供应商在首次响应文件提交截止时间后向采购人、采购代理机构书面申请撤回响应文件的，将根据本须知正文17.4的规定不予退还其磋商保证金。</w:t>
      </w:r>
    </w:p>
    <w:bookmarkEnd w:id="71"/>
    <w:p w14:paraId="7B9AC74B">
      <w:pPr>
        <w:spacing w:line="440" w:lineRule="exact"/>
        <w:rPr>
          <w:rFonts w:ascii="宋体" w:hAnsi="宋体"/>
          <w:color w:val="auto"/>
          <w:szCs w:val="21"/>
          <w:highlight w:val="none"/>
        </w:rPr>
      </w:pPr>
    </w:p>
    <w:p w14:paraId="573C7847">
      <w:pPr>
        <w:spacing w:line="440" w:lineRule="exact"/>
        <w:ind w:left="420" w:firstLine="420"/>
        <w:jc w:val="center"/>
        <w:rPr>
          <w:rFonts w:ascii="宋体" w:hAnsi="宋体"/>
          <w:b/>
          <w:bCs/>
          <w:color w:val="auto"/>
          <w:sz w:val="32"/>
          <w:szCs w:val="32"/>
          <w:highlight w:val="none"/>
        </w:rPr>
      </w:pPr>
      <w:r>
        <w:rPr>
          <w:rFonts w:hint="eastAsia" w:ascii="宋体" w:hAnsi="宋体"/>
          <w:b/>
          <w:bCs/>
          <w:color w:val="auto"/>
          <w:sz w:val="32"/>
          <w:szCs w:val="32"/>
          <w:highlight w:val="none"/>
        </w:rPr>
        <w:t>四、评审及磋商</w:t>
      </w:r>
    </w:p>
    <w:p w14:paraId="098EF101">
      <w:pPr>
        <w:spacing w:line="440" w:lineRule="exact"/>
        <w:ind w:left="420" w:firstLine="420"/>
        <w:rPr>
          <w:rFonts w:ascii="宋体" w:hAnsi="宋体"/>
          <w:color w:val="auto"/>
          <w:szCs w:val="21"/>
          <w:highlight w:val="none"/>
        </w:rPr>
      </w:pPr>
    </w:p>
    <w:p w14:paraId="3C73CCA7">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24.磋商小组成立</w:t>
      </w:r>
    </w:p>
    <w:p w14:paraId="4938A321">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24.1磋商小组由采购人代表和评审专家或全部由评审专家共3人以上单数组成，具体人数见“供应商须知前附表”。采购人代表不得以评审专家身份参加本部门或者本单位采购项目的评审。采购代理机构人员不得参加本机构代理的采购项目的评审。</w:t>
      </w:r>
    </w:p>
    <w:p w14:paraId="535B433E">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24.2评审专家应当从政府采购评审专家库内相关专业的专家名单中随机抽取。</w:t>
      </w:r>
    </w:p>
    <w:p w14:paraId="3AD6BD00">
      <w:pPr>
        <w:spacing w:line="440" w:lineRule="exact"/>
        <w:ind w:firstLine="482" w:firstLineChars="200"/>
        <w:rPr>
          <w:rFonts w:ascii="黑体" w:hAnsi="黑体" w:eastAsia="黑体" w:cs="宋体"/>
          <w:b/>
          <w:bCs/>
          <w:color w:val="auto"/>
          <w:sz w:val="24"/>
          <w:highlight w:val="none"/>
        </w:rPr>
      </w:pPr>
      <w:r>
        <w:rPr>
          <w:rFonts w:ascii="黑体" w:hAnsi="黑体" w:eastAsia="黑体" w:cs="宋体"/>
          <w:b/>
          <w:bCs/>
          <w:color w:val="auto"/>
          <w:sz w:val="24"/>
          <w:highlight w:val="none"/>
        </w:rPr>
        <w:t>25.</w:t>
      </w:r>
      <w:r>
        <w:rPr>
          <w:rFonts w:hint="eastAsia" w:ascii="黑体" w:hAnsi="黑体" w:eastAsia="黑体" w:cs="宋体"/>
          <w:b/>
          <w:bCs/>
          <w:color w:val="auto"/>
          <w:sz w:val="24"/>
          <w:highlight w:val="none"/>
        </w:rPr>
        <w:t>首次响应文件的开启</w:t>
      </w:r>
    </w:p>
    <w:p w14:paraId="394E044A">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首次响应文件由磋商小组或者采购代理机构在“供应商须知前附表”规定的时间开启。</w:t>
      </w:r>
    </w:p>
    <w:p w14:paraId="59B64218">
      <w:pPr>
        <w:spacing w:line="440" w:lineRule="exact"/>
        <w:ind w:firstLine="482" w:firstLineChars="200"/>
        <w:rPr>
          <w:rFonts w:ascii="黑体" w:hAnsi="黑体" w:eastAsia="黑体" w:cs="宋体"/>
          <w:b/>
          <w:bCs/>
          <w:color w:val="auto"/>
          <w:sz w:val="24"/>
          <w:highlight w:val="none"/>
        </w:rPr>
      </w:pPr>
      <w:r>
        <w:rPr>
          <w:rFonts w:ascii="黑体" w:hAnsi="黑体" w:eastAsia="黑体" w:cs="宋体"/>
          <w:b/>
          <w:bCs/>
          <w:color w:val="auto"/>
          <w:sz w:val="24"/>
          <w:highlight w:val="none"/>
        </w:rPr>
        <w:t>26</w:t>
      </w:r>
      <w:r>
        <w:rPr>
          <w:rFonts w:hint="eastAsia" w:ascii="黑体" w:hAnsi="黑体" w:eastAsia="黑体" w:cs="宋体"/>
          <w:b/>
          <w:bCs/>
          <w:color w:val="auto"/>
          <w:sz w:val="24"/>
          <w:highlight w:val="none"/>
        </w:rPr>
        <w:t>.评审程序、评审方法和评审标准</w:t>
      </w:r>
    </w:p>
    <w:p w14:paraId="0547B792">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w:t>
      </w:r>
      <w:r>
        <w:rPr>
          <w:rFonts w:ascii="宋体" w:hAnsi="宋体" w:cs="宋体"/>
          <w:color w:val="auto"/>
          <w:szCs w:val="21"/>
          <w:highlight w:val="none"/>
        </w:rPr>
        <w:t>6</w:t>
      </w:r>
      <w:r>
        <w:rPr>
          <w:rFonts w:hint="eastAsia" w:ascii="宋体" w:hAnsi="宋体" w:cs="宋体"/>
          <w:color w:val="auto"/>
          <w:szCs w:val="21"/>
          <w:highlight w:val="none"/>
        </w:rPr>
        <w:t>.1本项目的评审方法为综合评分法。</w:t>
      </w:r>
    </w:p>
    <w:p w14:paraId="3E659B63">
      <w:pPr>
        <w:spacing w:line="440" w:lineRule="exact"/>
        <w:ind w:firstLine="420" w:firstLineChars="200"/>
        <w:rPr>
          <w:rFonts w:ascii="宋体" w:hAnsi="宋体" w:cs="宋体"/>
          <w:color w:val="auto"/>
          <w:szCs w:val="21"/>
          <w:highlight w:val="none"/>
        </w:rPr>
      </w:pPr>
      <w:r>
        <w:rPr>
          <w:rFonts w:ascii="宋体" w:hAnsi="宋体" w:cs="宋体"/>
          <w:color w:val="auto"/>
          <w:szCs w:val="21"/>
          <w:highlight w:val="none"/>
        </w:rPr>
        <w:t>26.2</w:t>
      </w:r>
      <w:r>
        <w:rPr>
          <w:rFonts w:hint="eastAsia" w:ascii="宋体" w:hAnsi="宋体" w:cs="宋体"/>
          <w:color w:val="auto"/>
          <w:szCs w:val="21"/>
          <w:highlight w:val="none"/>
        </w:rPr>
        <w:t>磋商小组</w:t>
      </w:r>
      <w:r>
        <w:rPr>
          <w:rFonts w:ascii="宋体" w:hAnsi="宋体" w:cs="宋体"/>
          <w:color w:val="auto"/>
          <w:szCs w:val="21"/>
          <w:highlight w:val="none"/>
        </w:rPr>
        <w:t>按照</w:t>
      </w:r>
      <w:r>
        <w:rPr>
          <w:rFonts w:hint="eastAsia" w:ascii="宋体" w:hAnsi="宋体" w:cs="宋体"/>
          <w:color w:val="auto"/>
          <w:szCs w:val="21"/>
          <w:highlight w:val="none"/>
        </w:rPr>
        <w:t>“第四章 评审程序、评审方法和评审标准”</w:t>
      </w:r>
      <w:r>
        <w:rPr>
          <w:rFonts w:ascii="宋体" w:hAnsi="宋体" w:cs="宋体"/>
          <w:color w:val="auto"/>
          <w:szCs w:val="21"/>
          <w:highlight w:val="none"/>
        </w:rPr>
        <w:t>规定的方法、评审因素、标准和程序对</w:t>
      </w:r>
      <w:r>
        <w:rPr>
          <w:rFonts w:hint="eastAsia" w:ascii="宋体" w:hAnsi="宋体" w:cs="宋体"/>
          <w:color w:val="auto"/>
          <w:szCs w:val="21"/>
          <w:highlight w:val="none"/>
        </w:rPr>
        <w:t>响应</w:t>
      </w:r>
      <w:r>
        <w:rPr>
          <w:rFonts w:ascii="宋体" w:hAnsi="宋体" w:cs="宋体"/>
          <w:color w:val="auto"/>
          <w:szCs w:val="21"/>
          <w:highlight w:val="none"/>
        </w:rPr>
        <w:t>文件进行评审。</w:t>
      </w:r>
    </w:p>
    <w:p w14:paraId="1029BAF2">
      <w:pPr>
        <w:spacing w:line="440" w:lineRule="exact"/>
        <w:ind w:firstLine="482" w:firstLineChars="200"/>
        <w:rPr>
          <w:rFonts w:ascii="黑体" w:hAnsi="黑体" w:eastAsia="黑体" w:cs="宋体"/>
          <w:b/>
          <w:bCs/>
          <w:color w:val="auto"/>
          <w:sz w:val="24"/>
          <w:highlight w:val="none"/>
        </w:rPr>
      </w:pPr>
      <w:r>
        <w:rPr>
          <w:rFonts w:ascii="黑体" w:hAnsi="黑体" w:eastAsia="黑体" w:cs="宋体"/>
          <w:b/>
          <w:bCs/>
          <w:color w:val="auto"/>
          <w:sz w:val="24"/>
          <w:highlight w:val="none"/>
        </w:rPr>
        <w:t>27</w:t>
      </w:r>
      <w:r>
        <w:rPr>
          <w:rFonts w:hint="eastAsia" w:ascii="黑体" w:hAnsi="黑体" w:eastAsia="黑体" w:cs="宋体"/>
          <w:b/>
          <w:bCs/>
          <w:color w:val="auto"/>
          <w:sz w:val="24"/>
          <w:highlight w:val="none"/>
        </w:rPr>
        <w:t>.确定成交供应商及结果公告</w:t>
      </w:r>
    </w:p>
    <w:p w14:paraId="77D3E3AC">
      <w:pPr>
        <w:spacing w:line="440" w:lineRule="exact"/>
        <w:ind w:firstLine="420" w:firstLineChars="200"/>
        <w:rPr>
          <w:rFonts w:ascii="宋体" w:hAnsi="宋体" w:cs="宋体"/>
          <w:color w:val="auto"/>
          <w:szCs w:val="21"/>
          <w:highlight w:val="none"/>
        </w:rPr>
      </w:pPr>
      <w:r>
        <w:rPr>
          <w:rFonts w:ascii="宋体" w:hAnsi="宋体" w:cs="宋体"/>
          <w:color w:val="auto"/>
          <w:szCs w:val="21"/>
          <w:highlight w:val="none"/>
        </w:rPr>
        <w:t>27</w:t>
      </w:r>
      <w:r>
        <w:rPr>
          <w:rFonts w:hint="eastAsia" w:ascii="宋体" w:hAnsi="宋体" w:cs="宋体"/>
          <w:color w:val="auto"/>
          <w:szCs w:val="21"/>
          <w:highlight w:val="none"/>
        </w:rPr>
        <w:t>.1</w:t>
      </w:r>
      <w:r>
        <w:rPr>
          <w:rFonts w:hint="eastAsia" w:ascii="宋体" w:hAnsi="宋体" w:cs="宋体"/>
          <w:color w:val="auto"/>
          <w:kern w:val="0"/>
          <w:szCs w:val="21"/>
          <w:highlight w:val="none"/>
        </w:rPr>
        <w:t xml:space="preserve"> </w:t>
      </w:r>
      <w:r>
        <w:rPr>
          <w:rFonts w:hint="eastAsia" w:ascii="宋体" w:hAnsi="宋体" w:cs="宋体"/>
          <w:color w:val="auto"/>
          <w:szCs w:val="21"/>
          <w:highlight w:val="none"/>
        </w:rPr>
        <w:t>采购代理机构应当在评审结束后2个工作日内将评审报告送采购人确认。采购人应当在收到评审报告后5个工作日内，从评审报告提出的成交候选供应商中，按照排序由高到低的原则确定成交供应商，也可以书面授权磋商小组直接确定成交供应商。采购人逾期未确定成交供应商且不提出异议的，视为确定评审报告提出的排序第一的供应商为成交供应商。</w:t>
      </w:r>
    </w:p>
    <w:p w14:paraId="2FE7D2F9">
      <w:pPr>
        <w:spacing w:line="440" w:lineRule="exact"/>
        <w:ind w:firstLine="420" w:firstLineChars="200"/>
        <w:rPr>
          <w:rFonts w:ascii="宋体" w:hAnsi="宋体" w:cs="宋体"/>
          <w:color w:val="auto"/>
          <w:szCs w:val="21"/>
          <w:highlight w:val="none"/>
        </w:rPr>
      </w:pPr>
      <w:r>
        <w:rPr>
          <w:rFonts w:ascii="宋体" w:hAnsi="宋体" w:cs="宋体"/>
          <w:color w:val="auto"/>
          <w:szCs w:val="21"/>
          <w:highlight w:val="none"/>
        </w:rPr>
        <w:t>27</w:t>
      </w:r>
      <w:r>
        <w:rPr>
          <w:rFonts w:hint="eastAsia" w:ascii="宋体" w:hAnsi="宋体" w:cs="宋体"/>
          <w:color w:val="auto"/>
          <w:szCs w:val="21"/>
          <w:highlight w:val="none"/>
        </w:rPr>
        <w:t>.2采购代理机构应当在</w:t>
      </w:r>
      <w:r>
        <w:rPr>
          <w:rFonts w:hint="eastAsia" w:ascii="宋体" w:hAnsi="宋体" w:cs="宋体"/>
          <w:color w:val="auto"/>
          <w:kern w:val="0"/>
          <w:szCs w:val="21"/>
          <w:highlight w:val="none"/>
        </w:rPr>
        <w:t>成交</w:t>
      </w:r>
      <w:r>
        <w:rPr>
          <w:rFonts w:hint="eastAsia" w:ascii="宋体" w:hAnsi="宋体" w:cs="宋体"/>
          <w:color w:val="auto"/>
          <w:szCs w:val="21"/>
          <w:highlight w:val="none"/>
        </w:rPr>
        <w:t>供应商确定后2个工作日内，在省级以上财政部门指定的媒体上公告成交结果，同时向成交供应商发出成交通知书。</w:t>
      </w:r>
    </w:p>
    <w:p w14:paraId="37BAAB10">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2</w:t>
      </w:r>
      <w:r>
        <w:rPr>
          <w:rFonts w:ascii="宋体" w:hAnsi="宋体" w:cs="宋体"/>
          <w:color w:val="auto"/>
          <w:szCs w:val="21"/>
          <w:highlight w:val="none"/>
        </w:rPr>
        <w:t>7.3</w:t>
      </w:r>
      <w:r>
        <w:rPr>
          <w:rFonts w:hint="eastAsia" w:ascii="宋体" w:hAnsi="宋体" w:cs="宋体"/>
          <w:color w:val="auto"/>
          <w:szCs w:val="21"/>
          <w:highlight w:val="none"/>
        </w:rPr>
        <w:t xml:space="preserve"> 采购人、采购代理机构认为供应商对采购过程、成交结果提出的质疑成立且影响或者可能影响成交结果的，合格供应商符合法定数量时，可以从合格的成交候选人中另行确定成交供应商的，应当依法另行确定成交供应商；否则应当重新开展采购活动。</w:t>
      </w:r>
    </w:p>
    <w:p w14:paraId="7D36EFC2">
      <w:pPr>
        <w:spacing w:line="440" w:lineRule="exact"/>
        <w:ind w:firstLine="420" w:firstLineChars="200"/>
        <w:rPr>
          <w:rFonts w:ascii="宋体" w:hAnsi="宋体" w:cs="宋体"/>
          <w:color w:val="auto"/>
          <w:szCs w:val="21"/>
          <w:highlight w:val="none"/>
        </w:rPr>
      </w:pPr>
      <w:r>
        <w:rPr>
          <w:rFonts w:ascii="宋体" w:hAnsi="宋体"/>
          <w:bCs/>
          <w:color w:val="auto"/>
          <w:szCs w:val="21"/>
          <w:highlight w:val="none"/>
        </w:rPr>
        <w:t>27.4</w:t>
      </w:r>
      <w:r>
        <w:rPr>
          <w:rFonts w:hint="eastAsia" w:ascii="宋体" w:hAnsi="宋体"/>
          <w:bCs/>
          <w:color w:val="auto"/>
          <w:szCs w:val="21"/>
          <w:highlight w:val="none"/>
        </w:rPr>
        <w:t>排名第一的成交候选人放弃成交、因不可抗力提出不能履行合同，采购人可以确定排名第二的成交候选人为成交供应商。排名第二的成交候选人因前款规定的同样原因不能签订合同的，采购人可以确定排名第三的成交候选人为成交供应商，以此类推。出现以上情况</w:t>
      </w:r>
      <w:r>
        <w:rPr>
          <w:rFonts w:hint="eastAsia" w:ascii="宋体" w:hAnsi="宋体" w:cs="宋体"/>
          <w:color w:val="auto"/>
          <w:szCs w:val="21"/>
          <w:highlight w:val="none"/>
        </w:rPr>
        <w:t>也可以重新开展采购活动。</w:t>
      </w:r>
    </w:p>
    <w:p w14:paraId="6F756413">
      <w:pPr>
        <w:spacing w:line="440" w:lineRule="exact"/>
        <w:ind w:firstLine="482" w:firstLineChars="200"/>
        <w:rPr>
          <w:rFonts w:ascii="黑体" w:hAnsi="黑体" w:eastAsia="黑体" w:cs="宋体"/>
          <w:b/>
          <w:bCs/>
          <w:color w:val="auto"/>
          <w:sz w:val="24"/>
          <w:highlight w:val="none"/>
        </w:rPr>
      </w:pPr>
      <w:r>
        <w:rPr>
          <w:rFonts w:ascii="黑体" w:hAnsi="黑体" w:eastAsia="黑体" w:cs="宋体"/>
          <w:b/>
          <w:bCs/>
          <w:color w:val="auto"/>
          <w:sz w:val="24"/>
          <w:highlight w:val="none"/>
        </w:rPr>
        <w:t>28</w:t>
      </w:r>
      <w:r>
        <w:rPr>
          <w:rFonts w:hint="eastAsia" w:ascii="黑体" w:hAnsi="黑体" w:eastAsia="黑体" w:cs="宋体"/>
          <w:b/>
          <w:bCs/>
          <w:color w:val="auto"/>
          <w:sz w:val="24"/>
          <w:highlight w:val="none"/>
        </w:rPr>
        <w:t>.履约保证金</w:t>
      </w:r>
    </w:p>
    <w:p w14:paraId="73A91C84">
      <w:pPr>
        <w:spacing w:line="440" w:lineRule="exact"/>
        <w:ind w:firstLine="420" w:firstLineChars="200"/>
        <w:rPr>
          <w:rFonts w:ascii="宋体" w:hAnsi="宋体"/>
          <w:bCs/>
          <w:color w:val="auto"/>
          <w:szCs w:val="21"/>
          <w:highlight w:val="none"/>
        </w:rPr>
      </w:pPr>
      <w:r>
        <w:rPr>
          <w:rFonts w:hint="eastAsia" w:ascii="宋体" w:hAnsi="宋体"/>
          <w:bCs/>
          <w:color w:val="auto"/>
          <w:szCs w:val="21"/>
          <w:highlight w:val="none"/>
        </w:rPr>
        <w:t>28.1 履约保证金的金额、提交方式、退付的时间和条件详见 “供应商须知前附表”。成交供应商未按规定提交履约保证金的，视为拒绝与采购人签订合同，采购人可以按照评审报告推荐的成交候选人名单排序，确定下一候选人为成交供应商，也可以重新开展政府采购活动。</w:t>
      </w:r>
    </w:p>
    <w:p w14:paraId="355A5E70">
      <w:pPr>
        <w:spacing w:line="440" w:lineRule="exact"/>
        <w:ind w:firstLine="420" w:firstLineChars="200"/>
        <w:rPr>
          <w:rFonts w:ascii="宋体" w:hAnsi="宋体"/>
          <w:bCs/>
          <w:color w:val="auto"/>
          <w:szCs w:val="21"/>
          <w:highlight w:val="none"/>
        </w:rPr>
      </w:pPr>
      <w:r>
        <w:rPr>
          <w:rFonts w:hint="eastAsia" w:ascii="宋体" w:hAnsi="宋体"/>
          <w:bCs/>
          <w:color w:val="auto"/>
          <w:szCs w:val="21"/>
          <w:highlight w:val="none"/>
        </w:rPr>
        <w:t>28.2签订合同后，如成交供应商不按双方签订的合同规定履约，则没收其全部履约保证金，履约保证金不足以赔偿损失的，按实际损失赔偿。</w:t>
      </w:r>
    </w:p>
    <w:p w14:paraId="27BC33A7">
      <w:pPr>
        <w:spacing w:line="440" w:lineRule="exact"/>
        <w:ind w:firstLine="420" w:firstLineChars="200"/>
        <w:rPr>
          <w:color w:val="auto"/>
          <w:highlight w:val="none"/>
        </w:rPr>
      </w:pPr>
      <w:r>
        <w:rPr>
          <w:rFonts w:hint="eastAsia" w:ascii="宋体" w:hAnsi="宋体"/>
          <w:bCs/>
          <w:color w:val="auto"/>
          <w:szCs w:val="21"/>
          <w:highlight w:val="none"/>
        </w:rPr>
        <w:t>28.3在履约保证金退还日期前，若成交供应商的开户名称、开户银行、账号有变动的，请以书面形式通知履约保证金收取单位，否则由此产生的后果由成交供应商自行承担。</w:t>
      </w:r>
    </w:p>
    <w:p w14:paraId="4773EA9F">
      <w:pPr>
        <w:spacing w:line="440" w:lineRule="exact"/>
        <w:ind w:firstLine="482" w:firstLineChars="200"/>
        <w:rPr>
          <w:rFonts w:ascii="黑体" w:hAnsi="黑体" w:eastAsia="黑体" w:cs="宋体"/>
          <w:b/>
          <w:bCs/>
          <w:color w:val="auto"/>
          <w:sz w:val="24"/>
          <w:highlight w:val="none"/>
        </w:rPr>
      </w:pPr>
      <w:r>
        <w:rPr>
          <w:rFonts w:ascii="黑体" w:hAnsi="黑体" w:eastAsia="黑体" w:cs="宋体"/>
          <w:b/>
          <w:bCs/>
          <w:color w:val="auto"/>
          <w:sz w:val="24"/>
          <w:highlight w:val="none"/>
        </w:rPr>
        <w:t>29</w:t>
      </w:r>
      <w:r>
        <w:rPr>
          <w:rFonts w:hint="eastAsia" w:ascii="黑体" w:hAnsi="黑体" w:eastAsia="黑体" w:cs="宋体"/>
          <w:b/>
          <w:bCs/>
          <w:color w:val="auto"/>
          <w:sz w:val="24"/>
          <w:highlight w:val="none"/>
        </w:rPr>
        <w:t>.签订合同</w:t>
      </w:r>
    </w:p>
    <w:p w14:paraId="6A668FE4">
      <w:pPr>
        <w:spacing w:line="440" w:lineRule="exact"/>
        <w:ind w:firstLine="424" w:firstLineChars="202"/>
        <w:rPr>
          <w:rFonts w:ascii="宋体" w:hAnsi="宋体" w:cs="宋体"/>
          <w:color w:val="auto"/>
          <w:szCs w:val="21"/>
          <w:highlight w:val="none"/>
        </w:rPr>
      </w:pPr>
      <w:r>
        <w:rPr>
          <w:rFonts w:ascii="宋体" w:hAnsi="宋体" w:cs="宋体"/>
          <w:color w:val="auto"/>
          <w:szCs w:val="21"/>
          <w:highlight w:val="none"/>
        </w:rPr>
        <w:t>29.1</w:t>
      </w:r>
      <w:r>
        <w:rPr>
          <w:rFonts w:hint="eastAsia" w:ascii="宋体" w:hAnsi="宋体" w:cs="宋体"/>
          <w:color w:val="auto"/>
          <w:szCs w:val="21"/>
          <w:highlight w:val="none"/>
        </w:rPr>
        <w:t>成交供应商在收到成交通知书后，应当在签订合同时向采购人出示相关证明材料，具体内容详见 “供应商须知前附表”，经采购人核验合格后方可签订合同。</w:t>
      </w:r>
    </w:p>
    <w:p w14:paraId="22402966">
      <w:pPr>
        <w:spacing w:line="440" w:lineRule="exact"/>
        <w:ind w:firstLine="424" w:firstLineChars="202"/>
        <w:rPr>
          <w:rFonts w:ascii="宋体" w:hAnsi="宋体" w:cs="宋体"/>
          <w:color w:val="auto"/>
          <w:szCs w:val="21"/>
          <w:highlight w:val="none"/>
        </w:rPr>
      </w:pPr>
      <w:r>
        <w:rPr>
          <w:rFonts w:ascii="宋体" w:hAnsi="宋体" w:cs="宋体"/>
          <w:color w:val="auto"/>
          <w:szCs w:val="21"/>
          <w:highlight w:val="none"/>
        </w:rPr>
        <w:t>29</w:t>
      </w:r>
      <w:r>
        <w:rPr>
          <w:rFonts w:hint="eastAsia" w:ascii="宋体" w:hAnsi="宋体" w:cs="宋体"/>
          <w:color w:val="auto"/>
          <w:szCs w:val="21"/>
          <w:highlight w:val="none"/>
        </w:rPr>
        <w:t>.2 签订合同时间：按成交通知书规定的时间与采购人签订政府采购合同。</w:t>
      </w:r>
    </w:p>
    <w:p w14:paraId="1FC4C9FA">
      <w:pPr>
        <w:spacing w:line="440" w:lineRule="exact"/>
        <w:ind w:firstLine="424" w:firstLineChars="202"/>
        <w:rPr>
          <w:rFonts w:ascii="宋体" w:hAnsi="宋体" w:cs="宋体"/>
          <w:color w:val="auto"/>
          <w:szCs w:val="21"/>
          <w:highlight w:val="none"/>
        </w:rPr>
      </w:pPr>
      <w:r>
        <w:rPr>
          <w:rFonts w:ascii="宋体" w:hAnsi="宋体" w:cs="宋体"/>
          <w:color w:val="auto"/>
          <w:szCs w:val="21"/>
          <w:highlight w:val="none"/>
        </w:rPr>
        <w:t>29</w:t>
      </w:r>
      <w:r>
        <w:rPr>
          <w:rFonts w:hint="eastAsia" w:ascii="宋体" w:hAnsi="宋体" w:cs="宋体"/>
          <w:color w:val="auto"/>
          <w:szCs w:val="21"/>
          <w:highlight w:val="none"/>
        </w:rPr>
        <w:t>.3成交供应商拒绝与采购人签订合同的，采购人可以按照评审报告推荐的成交候选人名单排序，确定下一候选人为成交供应商，也可以重新开展政府采购活动。拒绝签订政府采购合同的成交供应商不得参加对该合同项重新开展的采购活动。</w:t>
      </w:r>
    </w:p>
    <w:p w14:paraId="4DC382FB">
      <w:pPr>
        <w:spacing w:line="440" w:lineRule="exact"/>
        <w:ind w:firstLine="482" w:firstLineChars="200"/>
        <w:rPr>
          <w:rFonts w:ascii="黑体" w:hAnsi="黑体" w:eastAsia="黑体" w:cs="宋体"/>
          <w:b/>
          <w:bCs/>
          <w:color w:val="auto"/>
          <w:sz w:val="24"/>
          <w:highlight w:val="none"/>
        </w:rPr>
      </w:pPr>
      <w:r>
        <w:rPr>
          <w:rFonts w:ascii="黑体" w:hAnsi="黑体" w:eastAsia="黑体" w:cs="宋体"/>
          <w:b/>
          <w:bCs/>
          <w:color w:val="auto"/>
          <w:sz w:val="24"/>
          <w:highlight w:val="none"/>
        </w:rPr>
        <w:t>30</w:t>
      </w:r>
      <w:r>
        <w:rPr>
          <w:rFonts w:hint="eastAsia" w:ascii="黑体" w:hAnsi="黑体" w:eastAsia="黑体" w:cs="宋体"/>
          <w:b/>
          <w:bCs/>
          <w:color w:val="auto"/>
          <w:sz w:val="24"/>
          <w:highlight w:val="none"/>
        </w:rPr>
        <w:t>.政府采购合同公告</w:t>
      </w:r>
    </w:p>
    <w:p w14:paraId="07E70E30">
      <w:pPr>
        <w:spacing w:line="44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根据《中华人民共和国政府采购法实施条例》第五十条规定，采购人应当自政府采购合同签订之日起2个工作日内，将政府采购合同在省级以上人民政府财政部门指定的媒体上公告，但政府采购合同中涉及国家秘密、商业秘密的内容除外。</w:t>
      </w:r>
    </w:p>
    <w:p w14:paraId="5ED1202C">
      <w:pPr>
        <w:spacing w:line="440" w:lineRule="exact"/>
        <w:ind w:firstLine="482" w:firstLineChars="200"/>
        <w:rPr>
          <w:rFonts w:ascii="黑体" w:hAnsi="黑体" w:eastAsia="黑体" w:cs="宋体"/>
          <w:b/>
          <w:bCs/>
          <w:color w:val="auto"/>
          <w:sz w:val="24"/>
          <w:highlight w:val="none"/>
        </w:rPr>
      </w:pPr>
      <w:r>
        <w:rPr>
          <w:rFonts w:ascii="黑体" w:hAnsi="黑体" w:eastAsia="黑体" w:cs="宋体"/>
          <w:b/>
          <w:bCs/>
          <w:color w:val="auto"/>
          <w:sz w:val="24"/>
          <w:highlight w:val="none"/>
        </w:rPr>
        <w:t>31</w:t>
      </w:r>
      <w:r>
        <w:rPr>
          <w:rFonts w:hint="eastAsia" w:ascii="黑体" w:hAnsi="黑体" w:eastAsia="黑体" w:cs="宋体"/>
          <w:b/>
          <w:bCs/>
          <w:color w:val="auto"/>
          <w:sz w:val="24"/>
          <w:highlight w:val="none"/>
        </w:rPr>
        <w:t>. 询问、质疑和投诉</w:t>
      </w:r>
    </w:p>
    <w:p w14:paraId="0F157B0F">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3</w:t>
      </w:r>
      <w:r>
        <w:rPr>
          <w:rFonts w:ascii="宋体" w:hAnsi="宋体" w:cs="宋体"/>
          <w:color w:val="auto"/>
          <w:highlight w:val="none"/>
        </w:rPr>
        <w:t>1</w:t>
      </w:r>
      <w:r>
        <w:rPr>
          <w:rFonts w:hint="eastAsia" w:ascii="宋体" w:hAnsi="宋体" w:cs="宋体"/>
          <w:color w:val="auto"/>
          <w:highlight w:val="none"/>
        </w:rPr>
        <w:t>.1供应商对政府采购活动事项有疑问的，可以向采购人、采购代理机构提出询问，采购人或者采购代理机构应当在3个工作日内对供应商依法提出的询问作出答复。</w:t>
      </w:r>
    </w:p>
    <w:p w14:paraId="33938970">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3</w:t>
      </w:r>
      <w:r>
        <w:rPr>
          <w:rFonts w:ascii="宋体" w:hAnsi="宋体" w:cs="宋体"/>
          <w:color w:val="auto"/>
          <w:highlight w:val="none"/>
        </w:rPr>
        <w:t>1</w:t>
      </w:r>
      <w:r>
        <w:rPr>
          <w:rFonts w:hint="eastAsia" w:ascii="宋体" w:hAnsi="宋体" w:cs="宋体"/>
          <w:color w:val="auto"/>
          <w:highlight w:val="none"/>
        </w:rPr>
        <w:t>.2供应商认为磋商文件、采购过程或者成交结果使自己的合法权益受到损害的，应当在知道或者应知其权益受到损害之日起7个工作日内，以书面形式向采购人、采购代理机构提出质疑，</w:t>
      </w:r>
      <w:r>
        <w:rPr>
          <w:rFonts w:ascii="宋体" w:hAnsi="宋体" w:cs="Arial"/>
          <w:color w:val="auto"/>
          <w:highlight w:val="none"/>
          <w:shd w:val="clear" w:color="auto" w:fill="FFFFFF"/>
        </w:rPr>
        <w:t>接收质疑函的方式、联系部门、联系电话和通讯地址等信息</w:t>
      </w:r>
      <w:r>
        <w:rPr>
          <w:rFonts w:hint="eastAsia" w:ascii="宋体" w:hAnsi="宋体" w:cs="Arial"/>
          <w:color w:val="auto"/>
          <w:highlight w:val="none"/>
          <w:shd w:val="clear" w:color="auto" w:fill="FFFFFF"/>
        </w:rPr>
        <w:t>详见</w:t>
      </w:r>
      <w:r>
        <w:rPr>
          <w:rFonts w:hint="eastAsia" w:ascii="宋体" w:hAnsi="宋体" w:cs="宋体"/>
          <w:color w:val="auto"/>
          <w:szCs w:val="21"/>
          <w:highlight w:val="none"/>
        </w:rPr>
        <w:t>“供应商须知前附表”</w:t>
      </w:r>
      <w:r>
        <w:rPr>
          <w:rFonts w:hint="eastAsia" w:ascii="宋体" w:hAnsi="宋体" w:cs="宋体"/>
          <w:color w:val="auto"/>
          <w:highlight w:val="none"/>
        </w:rPr>
        <w:t>。具体质疑起算时间如下：</w:t>
      </w:r>
    </w:p>
    <w:p w14:paraId="6E795D06">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（1）对可以质疑的磋商文件提出质疑的，为收到磋商文件之日或者</w:t>
      </w:r>
      <w:r>
        <w:rPr>
          <w:rFonts w:hint="eastAsia" w:ascii="宋体" w:hAnsi="宋体"/>
          <w:color w:val="auto"/>
          <w:highlight w:val="none"/>
        </w:rPr>
        <w:t>竞争性磋商公告期限届满之日</w:t>
      </w:r>
      <w:r>
        <w:rPr>
          <w:rFonts w:hint="eastAsia" w:ascii="宋体" w:hAnsi="宋体" w:cs="宋体"/>
          <w:color w:val="auto"/>
          <w:highlight w:val="none"/>
        </w:rPr>
        <w:t>；</w:t>
      </w:r>
    </w:p>
    <w:p w14:paraId="1BD2889C">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（2）对采购过程提出质疑的，为各采购程序环节结束之日；</w:t>
      </w:r>
    </w:p>
    <w:p w14:paraId="13FD14EB">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（3）对成交结果提出质疑的，为成交结果公告期限届满之日。</w:t>
      </w:r>
    </w:p>
    <w:p w14:paraId="62D6498F">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3</w:t>
      </w:r>
      <w:r>
        <w:rPr>
          <w:rFonts w:ascii="宋体" w:hAnsi="宋体" w:cs="宋体"/>
          <w:color w:val="auto"/>
          <w:highlight w:val="none"/>
        </w:rPr>
        <w:t>1</w:t>
      </w:r>
      <w:r>
        <w:rPr>
          <w:rFonts w:hint="eastAsia" w:ascii="宋体" w:hAnsi="宋体" w:cs="宋体"/>
          <w:color w:val="auto"/>
          <w:highlight w:val="none"/>
        </w:rPr>
        <w:t>.3供应商提出的询问或者质疑超出采购人对采购代理机构委托授权范围的，采购代理机构应当告知供应商向采购人提出。政府采购评审专家应当配合采购人或者采购代理机构答复供应商的询问和质疑。</w:t>
      </w:r>
    </w:p>
    <w:p w14:paraId="260592C6">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3</w:t>
      </w:r>
      <w:r>
        <w:rPr>
          <w:rFonts w:ascii="宋体" w:hAnsi="宋体" w:cs="宋体"/>
          <w:color w:val="auto"/>
          <w:highlight w:val="none"/>
        </w:rPr>
        <w:t>1</w:t>
      </w:r>
      <w:r>
        <w:rPr>
          <w:rFonts w:hint="eastAsia" w:ascii="宋体" w:hAnsi="宋体" w:cs="宋体"/>
          <w:color w:val="auto"/>
          <w:highlight w:val="none"/>
        </w:rPr>
        <w:t>.4 供应商提出质疑应当提交质疑函和必要的证明材料，针对同一采购程序环节的质疑必须在法定质疑期内一次性提出。质疑函应当包括下列内容</w:t>
      </w:r>
      <w:r>
        <w:rPr>
          <w:rFonts w:hint="eastAsia" w:hAnsi="宋体"/>
          <w:bCs/>
          <w:color w:val="auto"/>
          <w:highlight w:val="none"/>
        </w:rPr>
        <w:t>（质疑函格式后附）</w:t>
      </w:r>
      <w:r>
        <w:rPr>
          <w:rFonts w:hint="eastAsia" w:ascii="宋体" w:hAnsi="宋体" w:cs="宋体"/>
          <w:color w:val="auto"/>
          <w:highlight w:val="none"/>
        </w:rPr>
        <w:t>：</w:t>
      </w:r>
    </w:p>
    <w:p w14:paraId="661FC1B5">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（1）供应商的姓名或者名称、地址、邮编、联系人及联系电话；</w:t>
      </w:r>
    </w:p>
    <w:p w14:paraId="1C69C31C">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（2）质疑项目的名称、编号；</w:t>
      </w:r>
    </w:p>
    <w:p w14:paraId="65014F75">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（3）具体、明确的质疑事项和与质疑事项相关的请求；</w:t>
      </w:r>
    </w:p>
    <w:p w14:paraId="548D0F76">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（4）事实依据；</w:t>
      </w:r>
    </w:p>
    <w:p w14:paraId="1DB9F86A">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（5）必要的法律依据；</w:t>
      </w:r>
    </w:p>
    <w:p w14:paraId="508790F0">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（6）提出质疑的日期。</w:t>
      </w:r>
    </w:p>
    <w:p w14:paraId="1C6D44CC">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供应商为自然人的，应当由本人签字；供应商为法人或者其他组织的，应当由法定代表人、主要负责人，或者其委托代理人签字或者盖章，并加盖公章。</w:t>
      </w:r>
    </w:p>
    <w:p w14:paraId="5D558487">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3</w:t>
      </w:r>
      <w:r>
        <w:rPr>
          <w:rFonts w:ascii="宋体" w:hAnsi="宋体" w:cs="宋体"/>
          <w:color w:val="auto"/>
          <w:highlight w:val="none"/>
        </w:rPr>
        <w:t>1.5</w:t>
      </w:r>
      <w:r>
        <w:rPr>
          <w:rFonts w:hint="eastAsia" w:ascii="宋体" w:hAnsi="宋体" w:cs="宋体"/>
          <w:color w:val="auto"/>
          <w:highlight w:val="none"/>
        </w:rPr>
        <w:t>采购人、采购代理机构认为供应商质疑不成立，或者成立但未对成交结果构成影响的，继续开展采购活动；认为供应商质疑成立且影响或者可能影响成交结果的，按照下列情况处理：</w:t>
      </w:r>
    </w:p>
    <w:p w14:paraId="0BBD7CCC">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（一）对采购文件提出的质疑，依法通过澄清或者修改可以继续开展采购活动的，澄清或者修改采购文件后继续开展采购活动；否则应当修改采购文件后重新开展采购活动。</w:t>
      </w:r>
    </w:p>
    <w:p w14:paraId="74CBF81C">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（二）对采购过程或者成交结果提出的质疑，合格供应商符合法定数量时，可以从合格的成交候选人中另行确定成交供应商的，应当依法另行确定成交供应商；否则应当重新开展采购活动。</w:t>
      </w:r>
    </w:p>
    <w:p w14:paraId="2725AB01">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质疑答复导致成交结果改变的，采购人或者采购代理机构应当将有关情况书面报告本级财政部门。</w:t>
      </w:r>
    </w:p>
    <w:p w14:paraId="347E6307">
      <w:pPr>
        <w:spacing w:line="440" w:lineRule="exact"/>
        <w:ind w:firstLine="420" w:firstLineChars="200"/>
        <w:rPr>
          <w:rFonts w:ascii="宋体" w:hAnsi="宋体" w:cs="宋体"/>
          <w:color w:val="auto"/>
          <w:szCs w:val="21"/>
          <w:highlight w:val="none"/>
        </w:rPr>
      </w:pPr>
      <w:r>
        <w:rPr>
          <w:rFonts w:ascii="宋体" w:hAnsi="宋体" w:cs="宋体"/>
          <w:color w:val="auto"/>
          <w:highlight w:val="none"/>
        </w:rPr>
        <w:t>31</w:t>
      </w:r>
      <w:r>
        <w:rPr>
          <w:rFonts w:hint="eastAsia" w:ascii="宋体" w:hAnsi="宋体" w:cs="宋体"/>
          <w:color w:val="auto"/>
          <w:highlight w:val="none"/>
        </w:rPr>
        <w:t>.</w:t>
      </w:r>
      <w:r>
        <w:rPr>
          <w:rFonts w:ascii="宋体" w:hAnsi="宋体" w:cs="宋体"/>
          <w:color w:val="auto"/>
          <w:highlight w:val="none"/>
        </w:rPr>
        <w:t>6</w:t>
      </w:r>
      <w:r>
        <w:rPr>
          <w:rFonts w:hint="eastAsia" w:ascii="宋体" w:hAnsi="宋体" w:cs="宋体"/>
          <w:color w:val="auto"/>
          <w:highlight w:val="none"/>
        </w:rPr>
        <w:t>投诉的权利。质疑供应商对采购人、采购代理机构的答复不满意，或者采购人、采购代理机构未在规定时间内作出答复的，可以在答复期满后15个工作日内向《政府采购质疑和投诉办法》（财政部令第94号）第六条规定的财政部门提起投诉（投诉书格式后附）。</w:t>
      </w:r>
    </w:p>
    <w:p w14:paraId="147422A6">
      <w:pPr>
        <w:spacing w:line="440" w:lineRule="exact"/>
        <w:ind w:firstLine="482" w:firstLineChars="200"/>
        <w:rPr>
          <w:rFonts w:ascii="黑体" w:hAnsi="黑体" w:eastAsia="黑体" w:cs="宋体"/>
          <w:b/>
          <w:bCs/>
          <w:color w:val="auto"/>
          <w:sz w:val="24"/>
          <w:highlight w:val="none"/>
        </w:rPr>
      </w:pPr>
      <w:r>
        <w:rPr>
          <w:rFonts w:ascii="黑体" w:hAnsi="黑体" w:eastAsia="黑体" w:cs="宋体"/>
          <w:b/>
          <w:bCs/>
          <w:color w:val="auto"/>
          <w:sz w:val="24"/>
          <w:highlight w:val="none"/>
        </w:rPr>
        <w:t>32</w:t>
      </w:r>
      <w:r>
        <w:rPr>
          <w:rFonts w:hint="eastAsia" w:ascii="黑体" w:hAnsi="黑体" w:eastAsia="黑体" w:cs="宋体"/>
          <w:b/>
          <w:bCs/>
          <w:color w:val="auto"/>
          <w:sz w:val="24"/>
          <w:highlight w:val="none"/>
        </w:rPr>
        <w:t>.其他内容</w:t>
      </w:r>
    </w:p>
    <w:p w14:paraId="5B49CE2D">
      <w:pPr>
        <w:tabs>
          <w:tab w:val="left" w:pos="2835"/>
        </w:tabs>
        <w:spacing w:line="440" w:lineRule="exact"/>
        <w:ind w:firstLine="420" w:firstLineChars="200"/>
        <w:rPr>
          <w:rFonts w:ascii="宋体" w:hAnsi="宋体" w:cs="宋体"/>
          <w:color w:val="auto"/>
          <w:szCs w:val="21"/>
          <w:highlight w:val="none"/>
        </w:rPr>
      </w:pPr>
      <w:r>
        <w:rPr>
          <w:rFonts w:ascii="宋体" w:hAnsi="宋体" w:cs="宋体"/>
          <w:color w:val="auto"/>
          <w:szCs w:val="21"/>
          <w:highlight w:val="none"/>
        </w:rPr>
        <w:t>32</w:t>
      </w:r>
      <w:r>
        <w:rPr>
          <w:rFonts w:hint="eastAsia" w:ascii="宋体" w:hAnsi="宋体" w:cs="宋体"/>
          <w:color w:val="auto"/>
          <w:szCs w:val="21"/>
          <w:highlight w:val="none"/>
        </w:rPr>
        <w:t>.1代理服务收费标准及缴费账户详见“供应商须知前附表”，供应商为联合体的，可以由联合体中的一方或者多方共同交纳代理服务费。</w:t>
      </w:r>
    </w:p>
    <w:p w14:paraId="716B70C5">
      <w:pPr>
        <w:tabs>
          <w:tab w:val="left" w:pos="2835"/>
        </w:tabs>
        <w:spacing w:line="440" w:lineRule="exact"/>
        <w:ind w:firstLine="420" w:firstLineChars="200"/>
        <w:rPr>
          <w:rFonts w:ascii="宋体" w:hAnsi="宋体" w:cs="宋体"/>
          <w:color w:val="auto"/>
          <w:szCs w:val="21"/>
          <w:highlight w:val="none"/>
        </w:rPr>
      </w:pPr>
      <w:r>
        <w:rPr>
          <w:rFonts w:ascii="宋体" w:hAnsi="宋体" w:cs="宋体"/>
          <w:color w:val="auto"/>
          <w:szCs w:val="21"/>
          <w:highlight w:val="none"/>
        </w:rPr>
        <w:t>32.2</w:t>
      </w:r>
      <w:r>
        <w:rPr>
          <w:rFonts w:hint="eastAsia" w:ascii="宋体" w:hAnsi="宋体" w:cs="宋体"/>
          <w:color w:val="auto"/>
          <w:szCs w:val="21"/>
          <w:highlight w:val="none"/>
        </w:rPr>
        <w:t>代理服务费收费计算标准：</w:t>
      </w:r>
    </w:p>
    <w:tbl>
      <w:tblPr>
        <w:tblStyle w:val="31"/>
        <w:tblW w:w="82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72"/>
        <w:gridCol w:w="1659"/>
        <w:gridCol w:w="1532"/>
        <w:gridCol w:w="1546"/>
      </w:tblGrid>
      <w:tr w14:paraId="7C421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72" w:type="dxa"/>
            <w:tcBorders>
              <w:tl2br w:val="single" w:color="auto" w:sz="4" w:space="0"/>
            </w:tcBorders>
          </w:tcPr>
          <w:p w14:paraId="5F3345A0">
            <w:pPr>
              <w:spacing w:line="440" w:lineRule="exact"/>
              <w:rPr>
                <w:rFonts w:ascii="宋体" w:hAnsi="宋体" w:cs="宋体"/>
                <w:color w:val="auto"/>
                <w:szCs w:val="21"/>
                <w:highlight w:val="none"/>
              </w:rPr>
            </w:pPr>
            <w:r>
              <w:rPr>
                <w:rFonts w:hint="eastAsia" w:ascii="宋体" w:hAnsi="宋体" w:cs="宋体"/>
                <w:color w:val="auto"/>
                <w:szCs w:val="21"/>
                <w:highlight w:val="none"/>
              </w:rPr>
              <w:t xml:space="preserve">               费率</w:t>
            </w:r>
          </w:p>
          <w:p w14:paraId="44E229D2">
            <w:pPr>
              <w:spacing w:line="440" w:lineRule="exact"/>
              <w:rPr>
                <w:rFonts w:ascii="宋体" w:hAnsi="宋体" w:cs="宋体"/>
                <w:color w:val="auto"/>
                <w:szCs w:val="21"/>
                <w:highlight w:val="none"/>
              </w:rPr>
            </w:pPr>
            <w:r>
              <w:rPr>
                <w:rFonts w:hint="eastAsia" w:ascii="宋体" w:hAnsi="宋体" w:cs="宋体"/>
                <w:color w:val="auto"/>
                <w:szCs w:val="21"/>
                <w:highlight w:val="none"/>
              </w:rPr>
              <w:t>金额</w:t>
            </w:r>
          </w:p>
        </w:tc>
        <w:tc>
          <w:tcPr>
            <w:tcW w:w="1659" w:type="dxa"/>
            <w:vAlign w:val="center"/>
          </w:tcPr>
          <w:p w14:paraId="6A3FCBC2">
            <w:pPr>
              <w:spacing w:line="440" w:lineRule="exact"/>
              <w:ind w:firstLine="105" w:firstLineChars="50"/>
              <w:jc w:val="center"/>
              <w:rPr>
                <w:rFonts w:ascii="宋体" w:hAnsi="宋体" w:cs="宋体"/>
                <w:color w:val="auto"/>
                <w:szCs w:val="21"/>
                <w:highlight w:val="none"/>
              </w:rPr>
            </w:pPr>
            <w:r>
              <w:rPr>
                <w:rFonts w:hint="eastAsia" w:ascii="宋体" w:hAnsi="宋体" w:cs="宋体"/>
                <w:color w:val="auto"/>
                <w:szCs w:val="21"/>
                <w:highlight w:val="none"/>
              </w:rPr>
              <w:t>货物类</w:t>
            </w:r>
          </w:p>
        </w:tc>
        <w:tc>
          <w:tcPr>
            <w:tcW w:w="1532" w:type="dxa"/>
            <w:vAlign w:val="center"/>
          </w:tcPr>
          <w:p w14:paraId="2C278EDE">
            <w:pPr>
              <w:spacing w:line="440" w:lineRule="exact"/>
              <w:jc w:val="center"/>
              <w:rPr>
                <w:rFonts w:ascii="宋体" w:hAnsi="宋体" w:cs="宋体"/>
                <w:color w:val="auto"/>
                <w:szCs w:val="21"/>
                <w:highlight w:val="none"/>
              </w:rPr>
            </w:pPr>
            <w:r>
              <w:rPr>
                <w:rFonts w:hint="eastAsia" w:ascii="宋体" w:hAnsi="宋体" w:cs="宋体"/>
                <w:color w:val="auto"/>
                <w:szCs w:val="21"/>
                <w:highlight w:val="none"/>
              </w:rPr>
              <w:t>服务类</w:t>
            </w:r>
          </w:p>
        </w:tc>
        <w:tc>
          <w:tcPr>
            <w:tcW w:w="1546" w:type="dxa"/>
            <w:vAlign w:val="center"/>
          </w:tcPr>
          <w:p w14:paraId="3E181298">
            <w:pPr>
              <w:spacing w:line="440" w:lineRule="exact"/>
              <w:jc w:val="center"/>
              <w:rPr>
                <w:rFonts w:ascii="宋体" w:hAnsi="宋体" w:cs="宋体"/>
                <w:color w:val="auto"/>
                <w:szCs w:val="21"/>
                <w:highlight w:val="none"/>
              </w:rPr>
            </w:pPr>
            <w:r>
              <w:rPr>
                <w:rFonts w:hint="eastAsia" w:ascii="宋体" w:hAnsi="宋体" w:cs="宋体"/>
                <w:color w:val="auto"/>
                <w:szCs w:val="21"/>
                <w:highlight w:val="none"/>
              </w:rPr>
              <w:t>工程类</w:t>
            </w:r>
          </w:p>
        </w:tc>
      </w:tr>
      <w:tr w14:paraId="619333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72" w:type="dxa"/>
          </w:tcPr>
          <w:p w14:paraId="59CC0C87">
            <w:pPr>
              <w:spacing w:line="440" w:lineRule="exact"/>
              <w:rPr>
                <w:rFonts w:ascii="宋体" w:hAnsi="宋体" w:cs="宋体"/>
                <w:color w:val="auto"/>
                <w:szCs w:val="21"/>
                <w:highlight w:val="none"/>
              </w:rPr>
            </w:pPr>
            <w:r>
              <w:rPr>
                <w:rFonts w:hint="eastAsia" w:ascii="宋体" w:hAnsi="宋体" w:cs="宋体"/>
                <w:color w:val="auto"/>
                <w:szCs w:val="21"/>
                <w:highlight w:val="none"/>
              </w:rPr>
              <w:t>100万元以下</w:t>
            </w:r>
          </w:p>
        </w:tc>
        <w:tc>
          <w:tcPr>
            <w:tcW w:w="1659" w:type="dxa"/>
          </w:tcPr>
          <w:p w14:paraId="7258F9A7">
            <w:pPr>
              <w:spacing w:line="440" w:lineRule="exact"/>
              <w:rPr>
                <w:rFonts w:ascii="宋体" w:hAnsi="宋体" w:cs="宋体"/>
                <w:color w:val="auto"/>
                <w:szCs w:val="21"/>
                <w:highlight w:val="none"/>
              </w:rPr>
            </w:pPr>
            <w:r>
              <w:rPr>
                <w:rFonts w:hint="eastAsia" w:ascii="宋体" w:hAnsi="宋体" w:cs="宋体"/>
                <w:color w:val="auto"/>
                <w:kern w:val="0"/>
                <w:szCs w:val="21"/>
                <w:highlight w:val="none"/>
              </w:rPr>
              <w:t xml:space="preserve">  1.5%                </w:t>
            </w:r>
          </w:p>
        </w:tc>
        <w:tc>
          <w:tcPr>
            <w:tcW w:w="1532" w:type="dxa"/>
          </w:tcPr>
          <w:p w14:paraId="6EFC9AA4">
            <w:pPr>
              <w:spacing w:line="440" w:lineRule="exact"/>
              <w:ind w:firstLine="210" w:firstLineChars="100"/>
              <w:rPr>
                <w:rFonts w:ascii="宋体" w:hAnsi="宋体" w:cs="宋体"/>
                <w:color w:val="auto"/>
                <w:szCs w:val="21"/>
                <w:highlight w:val="none"/>
              </w:rPr>
            </w:pPr>
            <w:r>
              <w:rPr>
                <w:rFonts w:hint="eastAsia" w:ascii="宋体" w:hAnsi="宋体" w:cs="宋体"/>
                <w:color w:val="auto"/>
                <w:kern w:val="0"/>
                <w:szCs w:val="21"/>
                <w:highlight w:val="none"/>
              </w:rPr>
              <w:t>1.5%</w:t>
            </w:r>
          </w:p>
        </w:tc>
        <w:tc>
          <w:tcPr>
            <w:tcW w:w="1546" w:type="dxa"/>
          </w:tcPr>
          <w:p w14:paraId="22F10EE8">
            <w:pPr>
              <w:spacing w:line="440" w:lineRule="exact"/>
              <w:ind w:firstLine="210" w:firstLineChars="100"/>
              <w:rPr>
                <w:rFonts w:ascii="宋体" w:hAnsi="宋体" w:cs="宋体"/>
                <w:color w:val="auto"/>
                <w:szCs w:val="21"/>
                <w:highlight w:val="none"/>
              </w:rPr>
            </w:pPr>
            <w:r>
              <w:rPr>
                <w:rFonts w:hint="eastAsia" w:ascii="宋体" w:hAnsi="宋体" w:cs="宋体"/>
                <w:color w:val="auto"/>
                <w:kern w:val="0"/>
                <w:szCs w:val="21"/>
                <w:highlight w:val="none"/>
              </w:rPr>
              <w:t xml:space="preserve">1.0% </w:t>
            </w:r>
          </w:p>
        </w:tc>
      </w:tr>
      <w:tr w14:paraId="3E94C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72" w:type="dxa"/>
          </w:tcPr>
          <w:p w14:paraId="5E6AA70E">
            <w:pPr>
              <w:spacing w:line="440" w:lineRule="exact"/>
              <w:rPr>
                <w:rFonts w:ascii="宋体" w:hAnsi="宋体" w:cs="宋体"/>
                <w:color w:val="auto"/>
                <w:szCs w:val="21"/>
                <w:highlight w:val="none"/>
              </w:rPr>
            </w:pPr>
            <w:r>
              <w:rPr>
                <w:rFonts w:hint="eastAsia" w:ascii="宋体" w:hAnsi="宋体" w:cs="宋体"/>
                <w:color w:val="auto"/>
                <w:szCs w:val="21"/>
                <w:highlight w:val="none"/>
              </w:rPr>
              <w:t>100～500万元</w:t>
            </w:r>
          </w:p>
        </w:tc>
        <w:tc>
          <w:tcPr>
            <w:tcW w:w="1659" w:type="dxa"/>
          </w:tcPr>
          <w:p w14:paraId="62E5B027">
            <w:pPr>
              <w:spacing w:line="440" w:lineRule="exact"/>
              <w:ind w:firstLine="210" w:firstLineChars="100"/>
              <w:rPr>
                <w:rFonts w:ascii="宋体" w:hAnsi="宋体" w:cs="宋体"/>
                <w:color w:val="auto"/>
                <w:szCs w:val="21"/>
                <w:highlight w:val="none"/>
              </w:rPr>
            </w:pPr>
            <w:r>
              <w:rPr>
                <w:rFonts w:hint="eastAsia" w:ascii="宋体" w:hAnsi="宋体" w:cs="宋体"/>
                <w:color w:val="auto"/>
                <w:kern w:val="0"/>
                <w:szCs w:val="21"/>
                <w:highlight w:val="none"/>
              </w:rPr>
              <w:t xml:space="preserve">1.1%                 </w:t>
            </w:r>
          </w:p>
        </w:tc>
        <w:tc>
          <w:tcPr>
            <w:tcW w:w="1532" w:type="dxa"/>
          </w:tcPr>
          <w:p w14:paraId="1461D848">
            <w:pPr>
              <w:spacing w:line="440" w:lineRule="exact"/>
              <w:ind w:firstLine="210" w:firstLineChars="100"/>
              <w:rPr>
                <w:rFonts w:ascii="宋体" w:hAnsi="宋体" w:cs="宋体"/>
                <w:color w:val="auto"/>
                <w:szCs w:val="21"/>
                <w:highlight w:val="none"/>
              </w:rPr>
            </w:pPr>
            <w:r>
              <w:rPr>
                <w:rFonts w:hint="eastAsia" w:ascii="宋体" w:hAnsi="宋体" w:cs="宋体"/>
                <w:color w:val="auto"/>
                <w:kern w:val="0"/>
                <w:szCs w:val="21"/>
                <w:highlight w:val="none"/>
              </w:rPr>
              <w:t>0.8%</w:t>
            </w:r>
          </w:p>
        </w:tc>
        <w:tc>
          <w:tcPr>
            <w:tcW w:w="1546" w:type="dxa"/>
          </w:tcPr>
          <w:p w14:paraId="5461AD39">
            <w:pPr>
              <w:spacing w:line="440" w:lineRule="exact"/>
              <w:ind w:firstLine="210" w:firstLineChars="100"/>
              <w:rPr>
                <w:rFonts w:ascii="宋体" w:hAnsi="宋体" w:cs="宋体"/>
                <w:color w:val="auto"/>
                <w:szCs w:val="21"/>
                <w:highlight w:val="none"/>
              </w:rPr>
            </w:pPr>
            <w:r>
              <w:rPr>
                <w:rFonts w:hint="eastAsia" w:ascii="宋体" w:hAnsi="宋体" w:cs="宋体"/>
                <w:color w:val="auto"/>
                <w:kern w:val="0"/>
                <w:szCs w:val="21"/>
                <w:highlight w:val="none"/>
              </w:rPr>
              <w:t xml:space="preserve">0.7% </w:t>
            </w:r>
          </w:p>
        </w:tc>
      </w:tr>
      <w:tr w14:paraId="690B3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72" w:type="dxa"/>
          </w:tcPr>
          <w:p w14:paraId="1B0D740E">
            <w:pPr>
              <w:spacing w:line="440" w:lineRule="exact"/>
              <w:rPr>
                <w:rFonts w:ascii="宋体" w:hAnsi="宋体" w:cs="宋体"/>
                <w:color w:val="auto"/>
                <w:szCs w:val="21"/>
                <w:highlight w:val="none"/>
              </w:rPr>
            </w:pPr>
            <w:r>
              <w:rPr>
                <w:rFonts w:hint="eastAsia" w:ascii="宋体" w:hAnsi="宋体" w:cs="宋体"/>
                <w:color w:val="auto"/>
                <w:szCs w:val="21"/>
                <w:highlight w:val="none"/>
              </w:rPr>
              <w:t>500～1000万元</w:t>
            </w:r>
          </w:p>
        </w:tc>
        <w:tc>
          <w:tcPr>
            <w:tcW w:w="1659" w:type="dxa"/>
          </w:tcPr>
          <w:p w14:paraId="7AACDD99">
            <w:pPr>
              <w:spacing w:line="440" w:lineRule="exact"/>
              <w:rPr>
                <w:rFonts w:ascii="宋体" w:hAnsi="宋体" w:cs="宋体"/>
                <w:color w:val="auto"/>
                <w:szCs w:val="21"/>
                <w:highlight w:val="none"/>
              </w:rPr>
            </w:pPr>
            <w:r>
              <w:rPr>
                <w:rFonts w:hint="eastAsia" w:ascii="宋体" w:hAnsi="宋体" w:cs="宋体"/>
                <w:color w:val="auto"/>
                <w:kern w:val="0"/>
                <w:szCs w:val="21"/>
                <w:highlight w:val="none"/>
              </w:rPr>
              <w:t xml:space="preserve">  0.8%                </w:t>
            </w:r>
          </w:p>
        </w:tc>
        <w:tc>
          <w:tcPr>
            <w:tcW w:w="1532" w:type="dxa"/>
          </w:tcPr>
          <w:p w14:paraId="58FB31C0">
            <w:pPr>
              <w:spacing w:line="440" w:lineRule="exact"/>
              <w:ind w:firstLine="210" w:firstLineChars="100"/>
              <w:rPr>
                <w:rFonts w:ascii="宋体" w:hAnsi="宋体" w:cs="宋体"/>
                <w:color w:val="auto"/>
                <w:szCs w:val="21"/>
                <w:highlight w:val="none"/>
              </w:rPr>
            </w:pPr>
            <w:r>
              <w:rPr>
                <w:rFonts w:hint="eastAsia" w:ascii="宋体" w:hAnsi="宋体" w:cs="宋体"/>
                <w:color w:val="auto"/>
                <w:kern w:val="0"/>
                <w:szCs w:val="21"/>
                <w:highlight w:val="none"/>
              </w:rPr>
              <w:t>0.45%</w:t>
            </w:r>
          </w:p>
        </w:tc>
        <w:tc>
          <w:tcPr>
            <w:tcW w:w="1546" w:type="dxa"/>
          </w:tcPr>
          <w:p w14:paraId="2FFD9C98">
            <w:pPr>
              <w:spacing w:line="440" w:lineRule="exact"/>
              <w:ind w:firstLine="210" w:firstLineChars="100"/>
              <w:rPr>
                <w:rFonts w:ascii="宋体" w:hAnsi="宋体" w:cs="宋体"/>
                <w:color w:val="auto"/>
                <w:szCs w:val="21"/>
                <w:highlight w:val="none"/>
              </w:rPr>
            </w:pPr>
            <w:r>
              <w:rPr>
                <w:rFonts w:hint="eastAsia" w:ascii="宋体" w:hAnsi="宋体" w:cs="宋体"/>
                <w:color w:val="auto"/>
                <w:kern w:val="0"/>
                <w:szCs w:val="21"/>
                <w:highlight w:val="none"/>
              </w:rPr>
              <w:t>0.55%</w:t>
            </w:r>
          </w:p>
        </w:tc>
      </w:tr>
      <w:tr w14:paraId="5B51B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72" w:type="dxa"/>
          </w:tcPr>
          <w:p w14:paraId="4586CE22">
            <w:pPr>
              <w:spacing w:line="440" w:lineRule="exact"/>
              <w:rPr>
                <w:rFonts w:ascii="宋体" w:hAnsi="宋体" w:cs="宋体"/>
                <w:color w:val="auto"/>
                <w:szCs w:val="21"/>
                <w:highlight w:val="none"/>
              </w:rPr>
            </w:pPr>
            <w:r>
              <w:rPr>
                <w:rFonts w:hint="eastAsia" w:ascii="宋体" w:hAnsi="宋体" w:cs="宋体"/>
                <w:color w:val="auto"/>
                <w:szCs w:val="21"/>
                <w:highlight w:val="none"/>
              </w:rPr>
              <w:t>1000～5000万元</w:t>
            </w:r>
          </w:p>
        </w:tc>
        <w:tc>
          <w:tcPr>
            <w:tcW w:w="1659" w:type="dxa"/>
          </w:tcPr>
          <w:p w14:paraId="0152A488">
            <w:pPr>
              <w:spacing w:line="440" w:lineRule="exact"/>
              <w:ind w:firstLine="210" w:firstLineChars="100"/>
              <w:rPr>
                <w:rFonts w:ascii="宋体" w:hAnsi="宋体" w:cs="宋体"/>
                <w:color w:val="auto"/>
                <w:szCs w:val="21"/>
                <w:highlight w:val="none"/>
              </w:rPr>
            </w:pPr>
            <w:r>
              <w:rPr>
                <w:rFonts w:hint="eastAsia" w:ascii="宋体" w:hAnsi="宋体" w:cs="宋体"/>
                <w:color w:val="auto"/>
                <w:kern w:val="0"/>
                <w:szCs w:val="21"/>
                <w:highlight w:val="none"/>
              </w:rPr>
              <w:t xml:space="preserve">0.5%                </w:t>
            </w:r>
          </w:p>
        </w:tc>
        <w:tc>
          <w:tcPr>
            <w:tcW w:w="1532" w:type="dxa"/>
          </w:tcPr>
          <w:p w14:paraId="246D11D0">
            <w:pPr>
              <w:spacing w:line="440" w:lineRule="exact"/>
              <w:ind w:firstLine="210" w:firstLineChars="100"/>
              <w:rPr>
                <w:rFonts w:ascii="宋体" w:hAnsi="宋体" w:cs="宋体"/>
                <w:color w:val="auto"/>
                <w:szCs w:val="21"/>
                <w:highlight w:val="none"/>
              </w:rPr>
            </w:pPr>
            <w:r>
              <w:rPr>
                <w:rFonts w:hint="eastAsia" w:ascii="宋体" w:hAnsi="宋体" w:cs="宋体"/>
                <w:color w:val="auto"/>
                <w:kern w:val="0"/>
                <w:szCs w:val="21"/>
                <w:highlight w:val="none"/>
              </w:rPr>
              <w:t>0.25%</w:t>
            </w:r>
          </w:p>
        </w:tc>
        <w:tc>
          <w:tcPr>
            <w:tcW w:w="1546" w:type="dxa"/>
          </w:tcPr>
          <w:p w14:paraId="6E6B37F4">
            <w:pPr>
              <w:spacing w:line="440" w:lineRule="exact"/>
              <w:ind w:firstLine="210" w:firstLineChars="100"/>
              <w:rPr>
                <w:rFonts w:ascii="宋体" w:hAnsi="宋体" w:cs="宋体"/>
                <w:color w:val="auto"/>
                <w:szCs w:val="21"/>
                <w:highlight w:val="none"/>
              </w:rPr>
            </w:pPr>
            <w:r>
              <w:rPr>
                <w:rFonts w:hint="eastAsia" w:ascii="宋体" w:hAnsi="宋体" w:cs="宋体"/>
                <w:color w:val="auto"/>
                <w:kern w:val="0"/>
                <w:szCs w:val="21"/>
                <w:highlight w:val="none"/>
              </w:rPr>
              <w:t xml:space="preserve">0.35% </w:t>
            </w:r>
          </w:p>
        </w:tc>
      </w:tr>
      <w:tr w14:paraId="0CFA5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72" w:type="dxa"/>
          </w:tcPr>
          <w:p w14:paraId="3CA1EE8E">
            <w:pPr>
              <w:spacing w:line="440" w:lineRule="exact"/>
              <w:rPr>
                <w:rFonts w:ascii="宋体" w:hAnsi="宋体" w:cs="宋体"/>
                <w:color w:val="auto"/>
                <w:szCs w:val="21"/>
                <w:highlight w:val="none"/>
              </w:rPr>
            </w:pPr>
            <w:r>
              <w:rPr>
                <w:rFonts w:hint="eastAsia" w:ascii="宋体" w:hAnsi="宋体" w:cs="宋体"/>
                <w:color w:val="auto"/>
                <w:szCs w:val="21"/>
                <w:highlight w:val="none"/>
              </w:rPr>
              <w:t>5000万元～1亿元</w:t>
            </w:r>
          </w:p>
        </w:tc>
        <w:tc>
          <w:tcPr>
            <w:tcW w:w="1659" w:type="dxa"/>
          </w:tcPr>
          <w:p w14:paraId="5195125C">
            <w:pPr>
              <w:spacing w:line="440" w:lineRule="exact"/>
              <w:ind w:firstLine="210" w:firstLineChars="100"/>
              <w:rPr>
                <w:rFonts w:ascii="宋体" w:hAnsi="宋体" w:cs="宋体"/>
                <w:color w:val="auto"/>
                <w:szCs w:val="21"/>
                <w:highlight w:val="none"/>
              </w:rPr>
            </w:pPr>
            <w:r>
              <w:rPr>
                <w:rFonts w:hint="eastAsia" w:ascii="宋体" w:hAnsi="宋体" w:cs="宋体"/>
                <w:color w:val="auto"/>
                <w:kern w:val="0"/>
                <w:szCs w:val="21"/>
                <w:highlight w:val="none"/>
              </w:rPr>
              <w:t xml:space="preserve">0.25%                 </w:t>
            </w:r>
          </w:p>
        </w:tc>
        <w:tc>
          <w:tcPr>
            <w:tcW w:w="1532" w:type="dxa"/>
          </w:tcPr>
          <w:p w14:paraId="0512AD3D">
            <w:pPr>
              <w:spacing w:line="440" w:lineRule="exact"/>
              <w:ind w:firstLine="210" w:firstLineChars="100"/>
              <w:rPr>
                <w:rFonts w:ascii="宋体" w:hAnsi="宋体" w:cs="宋体"/>
                <w:color w:val="auto"/>
                <w:szCs w:val="21"/>
                <w:highlight w:val="none"/>
              </w:rPr>
            </w:pPr>
            <w:r>
              <w:rPr>
                <w:rFonts w:hint="eastAsia" w:ascii="宋体" w:hAnsi="宋体" w:cs="宋体"/>
                <w:color w:val="auto"/>
                <w:kern w:val="0"/>
                <w:szCs w:val="21"/>
                <w:highlight w:val="none"/>
              </w:rPr>
              <w:t>0.1%</w:t>
            </w:r>
          </w:p>
        </w:tc>
        <w:tc>
          <w:tcPr>
            <w:tcW w:w="1546" w:type="dxa"/>
          </w:tcPr>
          <w:p w14:paraId="29E23E2D">
            <w:pPr>
              <w:spacing w:line="440" w:lineRule="exact"/>
              <w:ind w:firstLine="210" w:firstLineChars="100"/>
              <w:rPr>
                <w:rFonts w:ascii="宋体" w:hAnsi="宋体" w:cs="宋体"/>
                <w:color w:val="auto"/>
                <w:szCs w:val="21"/>
                <w:highlight w:val="none"/>
              </w:rPr>
            </w:pPr>
            <w:r>
              <w:rPr>
                <w:rFonts w:hint="eastAsia" w:ascii="宋体" w:hAnsi="宋体" w:cs="宋体"/>
                <w:color w:val="auto"/>
                <w:kern w:val="0"/>
                <w:szCs w:val="21"/>
                <w:highlight w:val="none"/>
              </w:rPr>
              <w:t>0.2%</w:t>
            </w:r>
          </w:p>
        </w:tc>
      </w:tr>
      <w:tr w14:paraId="6263D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72" w:type="dxa"/>
          </w:tcPr>
          <w:p w14:paraId="61F44B56">
            <w:pPr>
              <w:spacing w:line="440" w:lineRule="exact"/>
              <w:rPr>
                <w:rFonts w:ascii="宋体" w:hAnsi="宋体" w:cs="宋体"/>
                <w:color w:val="auto"/>
                <w:szCs w:val="21"/>
                <w:highlight w:val="none"/>
              </w:rPr>
            </w:pPr>
            <w:r>
              <w:rPr>
                <w:rFonts w:hint="eastAsia" w:ascii="宋体" w:hAnsi="宋体" w:cs="宋体"/>
                <w:color w:val="auto"/>
                <w:szCs w:val="21"/>
                <w:highlight w:val="none"/>
              </w:rPr>
              <w:t>1～5亿元</w:t>
            </w:r>
          </w:p>
        </w:tc>
        <w:tc>
          <w:tcPr>
            <w:tcW w:w="1659" w:type="dxa"/>
          </w:tcPr>
          <w:p w14:paraId="02473DC5">
            <w:pPr>
              <w:spacing w:line="440" w:lineRule="exact"/>
              <w:ind w:firstLine="210" w:firstLineChars="100"/>
              <w:rPr>
                <w:rFonts w:ascii="宋体" w:hAnsi="宋体" w:cs="宋体"/>
                <w:color w:val="auto"/>
                <w:szCs w:val="21"/>
                <w:highlight w:val="none"/>
              </w:rPr>
            </w:pPr>
            <w:r>
              <w:rPr>
                <w:rFonts w:hint="eastAsia" w:ascii="宋体" w:hAnsi="宋体" w:cs="宋体"/>
                <w:color w:val="auto"/>
                <w:szCs w:val="21"/>
                <w:highlight w:val="none"/>
              </w:rPr>
              <w:t>0.05%</w:t>
            </w:r>
          </w:p>
        </w:tc>
        <w:tc>
          <w:tcPr>
            <w:tcW w:w="1532" w:type="dxa"/>
          </w:tcPr>
          <w:p w14:paraId="176F92C1">
            <w:pPr>
              <w:spacing w:line="440" w:lineRule="exact"/>
              <w:rPr>
                <w:rFonts w:ascii="宋体" w:hAnsi="宋体" w:cs="宋体"/>
                <w:color w:val="auto"/>
                <w:szCs w:val="21"/>
                <w:highlight w:val="none"/>
              </w:rPr>
            </w:pPr>
            <w:r>
              <w:rPr>
                <w:rFonts w:hint="eastAsia" w:ascii="宋体" w:hAnsi="宋体" w:cs="宋体"/>
                <w:color w:val="auto"/>
                <w:szCs w:val="21"/>
                <w:highlight w:val="none"/>
              </w:rPr>
              <w:t xml:space="preserve">  0.05%</w:t>
            </w:r>
          </w:p>
        </w:tc>
        <w:tc>
          <w:tcPr>
            <w:tcW w:w="1546" w:type="dxa"/>
          </w:tcPr>
          <w:p w14:paraId="5DEF02C1">
            <w:pPr>
              <w:spacing w:line="440" w:lineRule="exact"/>
              <w:rPr>
                <w:rFonts w:ascii="宋体" w:hAnsi="宋体" w:cs="宋体"/>
                <w:color w:val="auto"/>
                <w:szCs w:val="21"/>
                <w:highlight w:val="none"/>
              </w:rPr>
            </w:pPr>
            <w:r>
              <w:rPr>
                <w:rFonts w:hint="eastAsia" w:ascii="宋体" w:hAnsi="宋体" w:cs="宋体"/>
                <w:color w:val="auto"/>
                <w:szCs w:val="21"/>
                <w:highlight w:val="none"/>
              </w:rPr>
              <w:t xml:space="preserve">  0.05%</w:t>
            </w:r>
          </w:p>
        </w:tc>
      </w:tr>
      <w:tr w14:paraId="719EB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72" w:type="dxa"/>
          </w:tcPr>
          <w:p w14:paraId="5992A81F">
            <w:pPr>
              <w:spacing w:line="440" w:lineRule="exact"/>
              <w:rPr>
                <w:rFonts w:ascii="宋体" w:hAnsi="宋体" w:cs="宋体"/>
                <w:color w:val="auto"/>
                <w:szCs w:val="21"/>
                <w:highlight w:val="none"/>
              </w:rPr>
            </w:pPr>
            <w:r>
              <w:rPr>
                <w:rFonts w:hint="eastAsia" w:ascii="宋体" w:hAnsi="宋体" w:cs="宋体"/>
                <w:color w:val="auto"/>
                <w:szCs w:val="21"/>
                <w:highlight w:val="none"/>
              </w:rPr>
              <w:t>5～10亿元</w:t>
            </w:r>
          </w:p>
        </w:tc>
        <w:tc>
          <w:tcPr>
            <w:tcW w:w="1659" w:type="dxa"/>
          </w:tcPr>
          <w:p w14:paraId="5D3F30B2">
            <w:pPr>
              <w:spacing w:line="440" w:lineRule="exact"/>
              <w:ind w:firstLine="105" w:firstLineChars="50"/>
              <w:rPr>
                <w:rFonts w:ascii="宋体" w:hAnsi="宋体" w:cs="宋体"/>
                <w:color w:val="auto"/>
                <w:szCs w:val="21"/>
                <w:highlight w:val="none"/>
              </w:rPr>
            </w:pPr>
            <w:r>
              <w:rPr>
                <w:rFonts w:hint="eastAsia" w:ascii="宋体" w:hAnsi="宋体" w:cs="宋体"/>
                <w:color w:val="auto"/>
                <w:szCs w:val="21"/>
                <w:highlight w:val="none"/>
              </w:rPr>
              <w:t>0.035%</w:t>
            </w:r>
          </w:p>
        </w:tc>
        <w:tc>
          <w:tcPr>
            <w:tcW w:w="1532" w:type="dxa"/>
          </w:tcPr>
          <w:p w14:paraId="0FD4C4CD">
            <w:pPr>
              <w:spacing w:line="440" w:lineRule="exact"/>
              <w:rPr>
                <w:rFonts w:ascii="宋体" w:hAnsi="宋体" w:cs="宋体"/>
                <w:color w:val="auto"/>
                <w:szCs w:val="21"/>
                <w:highlight w:val="none"/>
              </w:rPr>
            </w:pPr>
            <w:r>
              <w:rPr>
                <w:rFonts w:hint="eastAsia" w:ascii="宋体" w:hAnsi="宋体" w:cs="宋体"/>
                <w:color w:val="auto"/>
                <w:szCs w:val="21"/>
                <w:highlight w:val="none"/>
              </w:rPr>
              <w:t xml:space="preserve">  0.035%</w:t>
            </w:r>
          </w:p>
        </w:tc>
        <w:tc>
          <w:tcPr>
            <w:tcW w:w="1546" w:type="dxa"/>
          </w:tcPr>
          <w:p w14:paraId="23C1CA9B">
            <w:pPr>
              <w:spacing w:line="440" w:lineRule="exact"/>
              <w:ind w:firstLine="105" w:firstLineChars="50"/>
              <w:rPr>
                <w:rFonts w:ascii="宋体" w:hAnsi="宋体" w:cs="宋体"/>
                <w:color w:val="auto"/>
                <w:szCs w:val="21"/>
                <w:highlight w:val="none"/>
              </w:rPr>
            </w:pPr>
            <w:r>
              <w:rPr>
                <w:rFonts w:hint="eastAsia" w:ascii="宋体" w:hAnsi="宋体" w:cs="宋体"/>
                <w:color w:val="auto"/>
                <w:szCs w:val="21"/>
                <w:highlight w:val="none"/>
              </w:rPr>
              <w:t>0.035%</w:t>
            </w:r>
          </w:p>
        </w:tc>
      </w:tr>
      <w:tr w14:paraId="77B06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72" w:type="dxa"/>
          </w:tcPr>
          <w:p w14:paraId="6D175D41">
            <w:pPr>
              <w:spacing w:line="440" w:lineRule="exact"/>
              <w:rPr>
                <w:rFonts w:ascii="宋体" w:hAnsi="宋体" w:cs="宋体"/>
                <w:color w:val="auto"/>
                <w:szCs w:val="21"/>
                <w:highlight w:val="none"/>
              </w:rPr>
            </w:pPr>
            <w:r>
              <w:rPr>
                <w:rFonts w:hint="eastAsia" w:ascii="宋体" w:hAnsi="宋体" w:cs="宋体"/>
                <w:color w:val="auto"/>
                <w:szCs w:val="21"/>
                <w:highlight w:val="none"/>
              </w:rPr>
              <w:t>10～50亿元</w:t>
            </w:r>
          </w:p>
        </w:tc>
        <w:tc>
          <w:tcPr>
            <w:tcW w:w="1659" w:type="dxa"/>
          </w:tcPr>
          <w:p w14:paraId="167A6554">
            <w:pPr>
              <w:spacing w:line="440" w:lineRule="exact"/>
              <w:ind w:firstLine="105" w:firstLineChars="50"/>
              <w:rPr>
                <w:rFonts w:ascii="宋体" w:hAnsi="宋体" w:cs="宋体"/>
                <w:color w:val="auto"/>
                <w:szCs w:val="21"/>
                <w:highlight w:val="none"/>
              </w:rPr>
            </w:pPr>
            <w:r>
              <w:rPr>
                <w:rFonts w:hint="eastAsia" w:ascii="宋体" w:hAnsi="宋体" w:cs="宋体"/>
                <w:color w:val="auto"/>
                <w:szCs w:val="21"/>
                <w:highlight w:val="none"/>
              </w:rPr>
              <w:t>0.008%</w:t>
            </w:r>
          </w:p>
        </w:tc>
        <w:tc>
          <w:tcPr>
            <w:tcW w:w="1532" w:type="dxa"/>
          </w:tcPr>
          <w:p w14:paraId="31A05618">
            <w:pPr>
              <w:spacing w:line="440" w:lineRule="exact"/>
              <w:ind w:firstLine="210" w:firstLineChars="100"/>
              <w:rPr>
                <w:rFonts w:ascii="宋体" w:hAnsi="宋体" w:cs="宋体"/>
                <w:color w:val="auto"/>
                <w:szCs w:val="21"/>
                <w:highlight w:val="none"/>
              </w:rPr>
            </w:pPr>
            <w:r>
              <w:rPr>
                <w:rFonts w:hint="eastAsia" w:ascii="宋体" w:hAnsi="宋体" w:cs="宋体"/>
                <w:color w:val="auto"/>
                <w:szCs w:val="21"/>
                <w:highlight w:val="none"/>
              </w:rPr>
              <w:t>0.008%</w:t>
            </w:r>
          </w:p>
        </w:tc>
        <w:tc>
          <w:tcPr>
            <w:tcW w:w="1546" w:type="dxa"/>
          </w:tcPr>
          <w:p w14:paraId="3B9DFE1A">
            <w:pPr>
              <w:spacing w:line="440" w:lineRule="exact"/>
              <w:ind w:firstLine="105" w:firstLineChars="50"/>
              <w:rPr>
                <w:rFonts w:ascii="宋体" w:hAnsi="宋体" w:cs="宋体"/>
                <w:color w:val="auto"/>
                <w:szCs w:val="21"/>
                <w:highlight w:val="none"/>
              </w:rPr>
            </w:pPr>
            <w:r>
              <w:rPr>
                <w:rFonts w:hint="eastAsia" w:ascii="宋体" w:hAnsi="宋体" w:cs="宋体"/>
                <w:color w:val="auto"/>
                <w:szCs w:val="21"/>
                <w:highlight w:val="none"/>
              </w:rPr>
              <w:t>0.008%</w:t>
            </w:r>
          </w:p>
        </w:tc>
      </w:tr>
      <w:tr w14:paraId="7DCEE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72" w:type="dxa"/>
          </w:tcPr>
          <w:p w14:paraId="156CBF61">
            <w:pPr>
              <w:spacing w:line="440" w:lineRule="exact"/>
              <w:rPr>
                <w:rFonts w:ascii="宋体" w:hAnsi="宋体" w:cs="宋体"/>
                <w:color w:val="auto"/>
                <w:szCs w:val="21"/>
                <w:highlight w:val="none"/>
              </w:rPr>
            </w:pPr>
            <w:r>
              <w:rPr>
                <w:rFonts w:hint="eastAsia" w:ascii="宋体" w:hAnsi="宋体" w:cs="宋体"/>
                <w:color w:val="auto"/>
                <w:szCs w:val="21"/>
                <w:highlight w:val="none"/>
              </w:rPr>
              <w:t>50～100亿元</w:t>
            </w:r>
          </w:p>
        </w:tc>
        <w:tc>
          <w:tcPr>
            <w:tcW w:w="1659" w:type="dxa"/>
          </w:tcPr>
          <w:p w14:paraId="1A1DB1CC">
            <w:pPr>
              <w:spacing w:line="440" w:lineRule="exact"/>
              <w:rPr>
                <w:rFonts w:ascii="宋体" w:hAnsi="宋体" w:cs="宋体"/>
                <w:color w:val="auto"/>
                <w:szCs w:val="21"/>
                <w:highlight w:val="none"/>
              </w:rPr>
            </w:pPr>
            <w:r>
              <w:rPr>
                <w:rFonts w:hint="eastAsia" w:ascii="宋体" w:hAnsi="宋体" w:cs="宋体"/>
                <w:color w:val="auto"/>
                <w:szCs w:val="21"/>
                <w:highlight w:val="none"/>
              </w:rPr>
              <w:t xml:space="preserve"> 0.006%</w:t>
            </w:r>
          </w:p>
        </w:tc>
        <w:tc>
          <w:tcPr>
            <w:tcW w:w="1532" w:type="dxa"/>
          </w:tcPr>
          <w:p w14:paraId="6F720E25">
            <w:pPr>
              <w:spacing w:line="440" w:lineRule="exact"/>
              <w:ind w:firstLine="210" w:firstLineChars="100"/>
              <w:rPr>
                <w:rFonts w:ascii="宋体" w:hAnsi="宋体" w:cs="宋体"/>
                <w:color w:val="auto"/>
                <w:szCs w:val="21"/>
                <w:highlight w:val="none"/>
              </w:rPr>
            </w:pPr>
            <w:r>
              <w:rPr>
                <w:rFonts w:hint="eastAsia" w:ascii="宋体" w:hAnsi="宋体" w:cs="宋体"/>
                <w:color w:val="auto"/>
                <w:szCs w:val="21"/>
                <w:highlight w:val="none"/>
              </w:rPr>
              <w:t>0.006%</w:t>
            </w:r>
          </w:p>
        </w:tc>
        <w:tc>
          <w:tcPr>
            <w:tcW w:w="1546" w:type="dxa"/>
          </w:tcPr>
          <w:p w14:paraId="49A0D639">
            <w:pPr>
              <w:spacing w:line="440" w:lineRule="exact"/>
              <w:ind w:firstLine="105" w:firstLineChars="50"/>
              <w:rPr>
                <w:rFonts w:ascii="宋体" w:hAnsi="宋体" w:cs="宋体"/>
                <w:color w:val="auto"/>
                <w:szCs w:val="21"/>
                <w:highlight w:val="none"/>
              </w:rPr>
            </w:pPr>
            <w:r>
              <w:rPr>
                <w:rFonts w:hint="eastAsia" w:ascii="宋体" w:hAnsi="宋体" w:cs="宋体"/>
                <w:color w:val="auto"/>
                <w:szCs w:val="21"/>
                <w:highlight w:val="none"/>
              </w:rPr>
              <w:t>0.006%</w:t>
            </w:r>
          </w:p>
        </w:tc>
      </w:tr>
      <w:tr w14:paraId="7A860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72" w:type="dxa"/>
          </w:tcPr>
          <w:p w14:paraId="29331525">
            <w:pPr>
              <w:spacing w:line="440" w:lineRule="exact"/>
              <w:rPr>
                <w:rFonts w:ascii="宋体" w:hAnsi="宋体" w:cs="宋体"/>
                <w:color w:val="auto"/>
                <w:szCs w:val="21"/>
                <w:highlight w:val="none"/>
              </w:rPr>
            </w:pPr>
            <w:r>
              <w:rPr>
                <w:rFonts w:hint="eastAsia" w:ascii="宋体" w:hAnsi="宋体" w:cs="宋体"/>
                <w:color w:val="auto"/>
                <w:szCs w:val="21"/>
                <w:highlight w:val="none"/>
              </w:rPr>
              <w:t>100亿以上</w:t>
            </w:r>
          </w:p>
        </w:tc>
        <w:tc>
          <w:tcPr>
            <w:tcW w:w="1659" w:type="dxa"/>
          </w:tcPr>
          <w:p w14:paraId="32A5567B">
            <w:pPr>
              <w:spacing w:line="440" w:lineRule="exact"/>
              <w:rPr>
                <w:rFonts w:ascii="宋体" w:hAnsi="宋体" w:cs="宋体"/>
                <w:color w:val="auto"/>
                <w:szCs w:val="21"/>
                <w:highlight w:val="none"/>
              </w:rPr>
            </w:pPr>
            <w:r>
              <w:rPr>
                <w:rFonts w:hint="eastAsia" w:ascii="宋体" w:hAnsi="宋体" w:cs="宋体"/>
                <w:color w:val="auto"/>
                <w:szCs w:val="21"/>
                <w:highlight w:val="none"/>
              </w:rPr>
              <w:t xml:space="preserve"> 0.004%</w:t>
            </w:r>
          </w:p>
        </w:tc>
        <w:tc>
          <w:tcPr>
            <w:tcW w:w="1532" w:type="dxa"/>
          </w:tcPr>
          <w:p w14:paraId="2085F229">
            <w:pPr>
              <w:spacing w:line="440" w:lineRule="exact"/>
              <w:ind w:firstLine="210" w:firstLineChars="100"/>
              <w:rPr>
                <w:rFonts w:ascii="宋体" w:hAnsi="宋体" w:cs="宋体"/>
                <w:color w:val="auto"/>
                <w:szCs w:val="21"/>
                <w:highlight w:val="none"/>
              </w:rPr>
            </w:pPr>
            <w:r>
              <w:rPr>
                <w:rFonts w:hint="eastAsia" w:ascii="宋体" w:hAnsi="宋体" w:cs="宋体"/>
                <w:color w:val="auto"/>
                <w:szCs w:val="21"/>
                <w:highlight w:val="none"/>
              </w:rPr>
              <w:t>0.004%</w:t>
            </w:r>
          </w:p>
        </w:tc>
        <w:tc>
          <w:tcPr>
            <w:tcW w:w="1546" w:type="dxa"/>
          </w:tcPr>
          <w:p w14:paraId="54C98E21">
            <w:pPr>
              <w:spacing w:line="440" w:lineRule="exact"/>
              <w:ind w:firstLine="105" w:firstLineChars="50"/>
              <w:rPr>
                <w:rFonts w:ascii="宋体" w:hAnsi="宋体" w:cs="宋体"/>
                <w:color w:val="auto"/>
                <w:szCs w:val="21"/>
                <w:highlight w:val="none"/>
              </w:rPr>
            </w:pPr>
            <w:r>
              <w:rPr>
                <w:rFonts w:hint="eastAsia" w:ascii="宋体" w:hAnsi="宋体" w:cs="宋体"/>
                <w:color w:val="auto"/>
                <w:szCs w:val="21"/>
                <w:highlight w:val="none"/>
              </w:rPr>
              <w:t>0.004%</w:t>
            </w:r>
          </w:p>
        </w:tc>
      </w:tr>
    </w:tbl>
    <w:p w14:paraId="1D3E06F4">
      <w:pPr>
        <w:spacing w:line="440" w:lineRule="exact"/>
        <w:ind w:firstLine="420" w:firstLineChars="200"/>
        <w:rPr>
          <w:rFonts w:ascii="宋体" w:hAnsi="宋体" w:cs="宋体"/>
          <w:color w:val="auto"/>
          <w:highlight w:val="none"/>
        </w:rPr>
      </w:pPr>
      <w:r>
        <w:rPr>
          <w:rFonts w:ascii="宋体" w:hAnsi="宋体" w:cs="宋体"/>
          <w:color w:val="auto"/>
          <w:highlight w:val="none"/>
        </w:rPr>
        <w:t>注：</w:t>
      </w:r>
    </w:p>
    <w:p w14:paraId="5E3504E1">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（1）</w:t>
      </w:r>
      <w:r>
        <w:rPr>
          <w:rFonts w:ascii="宋体" w:hAnsi="宋体" w:cs="宋体"/>
          <w:color w:val="auto"/>
          <w:highlight w:val="none"/>
        </w:rPr>
        <w:t>按本表费率计算的收费为</w:t>
      </w:r>
      <w:r>
        <w:rPr>
          <w:rFonts w:hint="eastAsia" w:ascii="宋体" w:hAnsi="宋体" w:cs="宋体"/>
          <w:color w:val="auto"/>
          <w:highlight w:val="none"/>
        </w:rPr>
        <w:t>采购</w:t>
      </w:r>
      <w:r>
        <w:rPr>
          <w:rFonts w:ascii="宋体" w:hAnsi="宋体" w:cs="宋体"/>
          <w:color w:val="auto"/>
          <w:highlight w:val="none"/>
        </w:rPr>
        <w:t>代理的收费基准价格</w:t>
      </w:r>
      <w:r>
        <w:rPr>
          <w:rFonts w:hint="eastAsia" w:ascii="宋体" w:hAnsi="宋体" w:cs="宋体"/>
          <w:color w:val="auto"/>
          <w:highlight w:val="none"/>
        </w:rPr>
        <w:t>；</w:t>
      </w:r>
    </w:p>
    <w:p w14:paraId="6FD63EA8">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（2）采购</w:t>
      </w:r>
      <w:r>
        <w:rPr>
          <w:rFonts w:ascii="宋体" w:hAnsi="宋体" w:cs="宋体"/>
          <w:color w:val="auto"/>
          <w:highlight w:val="none"/>
        </w:rPr>
        <w:t>代理收费按差额定率累进法计算。</w:t>
      </w:r>
    </w:p>
    <w:p w14:paraId="58DBB8B1">
      <w:pPr>
        <w:spacing w:line="440" w:lineRule="exact"/>
        <w:ind w:firstLine="420" w:firstLineChars="200"/>
        <w:rPr>
          <w:rFonts w:ascii="宋体" w:hAnsi="宋体" w:cs="宋体"/>
          <w:color w:val="auto"/>
          <w:highlight w:val="none"/>
        </w:rPr>
      </w:pPr>
      <w:r>
        <w:rPr>
          <w:rFonts w:ascii="宋体" w:hAnsi="宋体" w:cs="宋体"/>
          <w:color w:val="auto"/>
          <w:highlight w:val="none"/>
        </w:rPr>
        <w:t>例如：某</w:t>
      </w:r>
      <w:r>
        <w:rPr>
          <w:rFonts w:hint="eastAsia" w:ascii="宋体" w:hAnsi="宋体" w:cs="宋体"/>
          <w:color w:val="auto"/>
          <w:highlight w:val="none"/>
        </w:rPr>
        <w:t>服务采购</w:t>
      </w:r>
      <w:r>
        <w:rPr>
          <w:rFonts w:ascii="宋体" w:hAnsi="宋体" w:cs="宋体"/>
          <w:color w:val="auto"/>
          <w:highlight w:val="none"/>
        </w:rPr>
        <w:t>代理业务</w:t>
      </w:r>
      <w:r>
        <w:rPr>
          <w:rFonts w:hint="eastAsia" w:ascii="宋体" w:hAnsi="宋体" w:cs="宋体"/>
          <w:color w:val="auto"/>
          <w:highlight w:val="none"/>
        </w:rPr>
        <w:t>成交</w:t>
      </w:r>
      <w:r>
        <w:rPr>
          <w:rFonts w:ascii="宋体" w:hAnsi="宋体" w:cs="宋体"/>
          <w:color w:val="auto"/>
          <w:highlight w:val="none"/>
        </w:rPr>
        <w:t>金额</w:t>
      </w:r>
      <w:r>
        <w:rPr>
          <w:rFonts w:hint="eastAsia" w:ascii="宋体" w:hAnsi="宋体" w:cs="宋体"/>
          <w:color w:val="auto"/>
          <w:highlight w:val="none"/>
        </w:rPr>
        <w:t>或者暂定价</w:t>
      </w:r>
      <w:r>
        <w:rPr>
          <w:rFonts w:ascii="宋体" w:hAnsi="宋体" w:cs="宋体"/>
          <w:color w:val="auto"/>
          <w:highlight w:val="none"/>
        </w:rPr>
        <w:t>为150万元，计算</w:t>
      </w:r>
      <w:r>
        <w:rPr>
          <w:rFonts w:hint="eastAsia" w:ascii="宋体" w:hAnsi="宋体" w:cs="宋体"/>
          <w:color w:val="auto"/>
          <w:highlight w:val="none"/>
        </w:rPr>
        <w:t>采购</w:t>
      </w:r>
      <w:r>
        <w:rPr>
          <w:rFonts w:ascii="宋体" w:hAnsi="宋体" w:cs="宋体"/>
          <w:color w:val="auto"/>
          <w:highlight w:val="none"/>
        </w:rPr>
        <w:t>代理收费额如下：</w:t>
      </w:r>
    </w:p>
    <w:p w14:paraId="5F432A9A">
      <w:pPr>
        <w:spacing w:line="440" w:lineRule="exact"/>
        <w:ind w:firstLine="420" w:firstLineChars="200"/>
        <w:rPr>
          <w:rFonts w:ascii="宋体" w:hAnsi="宋体" w:cs="宋体"/>
          <w:color w:val="auto"/>
          <w:highlight w:val="none"/>
        </w:rPr>
      </w:pPr>
      <w:r>
        <w:rPr>
          <w:rFonts w:ascii="宋体" w:hAnsi="宋体" w:cs="宋体"/>
          <w:color w:val="auto"/>
          <w:highlight w:val="none"/>
        </w:rPr>
        <w:t>100万元×l.5 ％＝ 1.5 万元</w:t>
      </w:r>
    </w:p>
    <w:p w14:paraId="2FF10B78">
      <w:pPr>
        <w:spacing w:line="440" w:lineRule="exact"/>
        <w:ind w:firstLine="420" w:firstLineChars="200"/>
        <w:rPr>
          <w:rFonts w:ascii="宋体" w:hAnsi="宋体" w:cs="宋体"/>
          <w:color w:val="auto"/>
          <w:highlight w:val="none"/>
        </w:rPr>
      </w:pPr>
      <w:r>
        <w:rPr>
          <w:rFonts w:ascii="宋体" w:hAnsi="宋体" w:cs="宋体"/>
          <w:color w:val="auto"/>
          <w:highlight w:val="none"/>
        </w:rPr>
        <w:t>（150－100）万元 ×0.8％＝0.4万元</w:t>
      </w:r>
    </w:p>
    <w:p w14:paraId="3DC7CF7A">
      <w:pPr>
        <w:spacing w:line="440" w:lineRule="exact"/>
        <w:ind w:firstLine="420" w:firstLineChars="200"/>
        <w:rPr>
          <w:rFonts w:ascii="宋体" w:hAnsi="宋体" w:cs="宋体"/>
          <w:color w:val="auto"/>
          <w:highlight w:val="none"/>
        </w:rPr>
      </w:pPr>
      <w:r>
        <w:rPr>
          <w:rFonts w:ascii="宋体" w:hAnsi="宋体" w:cs="宋体"/>
          <w:color w:val="auto"/>
          <w:highlight w:val="none"/>
        </w:rPr>
        <w:t>合计收费＝1.5＋0.4＝1.9万元</w:t>
      </w:r>
    </w:p>
    <w:p w14:paraId="366151DA">
      <w:pPr>
        <w:spacing w:line="440" w:lineRule="exact"/>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3</w:t>
      </w:r>
      <w:r>
        <w:rPr>
          <w:rFonts w:ascii="黑体" w:hAnsi="黑体" w:eastAsia="黑体" w:cs="宋体"/>
          <w:b/>
          <w:bCs/>
          <w:color w:val="auto"/>
          <w:sz w:val="24"/>
          <w:highlight w:val="none"/>
        </w:rPr>
        <w:t>3.需要补充的其他内容</w:t>
      </w:r>
    </w:p>
    <w:p w14:paraId="750D2156">
      <w:pPr>
        <w:spacing w:line="440" w:lineRule="exact"/>
        <w:ind w:firstLine="420" w:firstLineChars="200"/>
        <w:rPr>
          <w:rFonts w:ascii="宋体" w:hAnsi="宋体" w:cs="宋体"/>
          <w:color w:val="auto"/>
          <w:highlight w:val="none"/>
        </w:rPr>
      </w:pPr>
      <w:r>
        <w:rPr>
          <w:rFonts w:hint="eastAsia" w:ascii="宋体" w:hAnsi="宋体" w:cs="宋体"/>
          <w:color w:val="auto"/>
          <w:highlight w:val="none"/>
        </w:rPr>
        <w:t>3</w:t>
      </w:r>
      <w:r>
        <w:rPr>
          <w:rFonts w:ascii="宋体" w:hAnsi="宋体" w:cs="宋体"/>
          <w:color w:val="auto"/>
          <w:highlight w:val="none"/>
        </w:rPr>
        <w:t>3.1</w:t>
      </w:r>
      <w:r>
        <w:rPr>
          <w:rFonts w:hint="eastAsia" w:ascii="宋体" w:hAnsi="宋体" w:cs="宋体"/>
          <w:color w:val="auto"/>
          <w:highlight w:val="none"/>
        </w:rPr>
        <w:t>本磋商文件解释规则详见“供应商须知前附表”。</w:t>
      </w:r>
    </w:p>
    <w:p w14:paraId="00866E2D">
      <w:pPr>
        <w:spacing w:line="440" w:lineRule="exact"/>
        <w:ind w:firstLine="420" w:firstLineChars="200"/>
        <w:rPr>
          <w:rFonts w:hAnsi="宋体"/>
          <w:b/>
          <w:color w:val="auto"/>
          <w:highlight w:val="none"/>
        </w:rPr>
        <w:sectPr>
          <w:footerReference r:id="rId6" w:type="default"/>
          <w:pgSz w:w="11906" w:h="16838"/>
          <w:pgMar w:top="1134" w:right="1134" w:bottom="1134" w:left="1134" w:header="851" w:footer="709" w:gutter="0"/>
          <w:pgNumType w:fmt="numberInDash" w:start="1"/>
          <w:cols w:space="720" w:num="1"/>
          <w:docGrid w:type="lines" w:linePitch="579" w:charSpace="0"/>
        </w:sectPr>
      </w:pPr>
      <w:r>
        <w:rPr>
          <w:rFonts w:ascii="宋体" w:hAnsi="宋体" w:cs="宋体"/>
          <w:color w:val="auto"/>
          <w:highlight w:val="none"/>
        </w:rPr>
        <w:t>33.2</w:t>
      </w:r>
      <w:r>
        <w:rPr>
          <w:rFonts w:hint="eastAsia" w:ascii="宋体" w:hAnsi="宋体" w:cs="宋体"/>
          <w:color w:val="auto"/>
          <w:highlight w:val="none"/>
        </w:rPr>
        <w:t xml:space="preserve"> 其他事项详见“供应商须知前附表”。</w:t>
      </w:r>
    </w:p>
    <w:p w14:paraId="72057D2B">
      <w:pPr>
        <w:spacing w:line="440" w:lineRule="exact"/>
        <w:ind w:firstLine="560" w:firstLineChars="200"/>
        <w:rPr>
          <w:color w:val="auto"/>
          <w:highlight w:val="none"/>
        </w:rPr>
      </w:pPr>
      <w:r>
        <w:rPr>
          <w:rFonts w:hint="eastAsia" w:ascii="黑体" w:hAnsi="黑体" w:eastAsia="黑体" w:cs="黑体"/>
          <w:bCs/>
          <w:color w:val="auto"/>
          <w:sz w:val="28"/>
          <w:szCs w:val="28"/>
          <w:highlight w:val="none"/>
        </w:rPr>
        <w:t>附件1：</w:t>
      </w:r>
    </w:p>
    <w:p w14:paraId="3EBE5D03">
      <w:pPr>
        <w:widowControl/>
        <w:snapToGrid w:val="0"/>
        <w:jc w:val="center"/>
        <w:rPr>
          <w:rFonts w:ascii="方正小标宋简体" w:hAnsi="方正小标宋简体" w:eastAsia="方正小标宋简体" w:cs="方正小标宋简体"/>
          <w:color w:val="auto"/>
          <w:sz w:val="30"/>
          <w:szCs w:val="30"/>
          <w:highlight w:val="none"/>
        </w:rPr>
      </w:pPr>
      <w:r>
        <w:rPr>
          <w:rFonts w:hint="eastAsia" w:ascii="方正小标宋简体" w:hAnsi="方正小标宋简体" w:eastAsia="方正小标宋简体" w:cs="方正小标宋简体"/>
          <w:color w:val="auto"/>
          <w:kern w:val="0"/>
          <w:sz w:val="30"/>
          <w:szCs w:val="30"/>
          <w:highlight w:val="none"/>
        </w:rPr>
        <w:t>采购服务类项目履约验收报告参考范本</w:t>
      </w:r>
    </w:p>
    <w:tbl>
      <w:tblPr>
        <w:tblStyle w:val="31"/>
        <w:tblW w:w="9062" w:type="dxa"/>
        <w:jc w:val="center"/>
        <w:tblLayout w:type="fixed"/>
        <w:tblCellMar>
          <w:top w:w="0" w:type="dxa"/>
          <w:left w:w="108" w:type="dxa"/>
          <w:bottom w:w="0" w:type="dxa"/>
          <w:right w:w="108" w:type="dxa"/>
        </w:tblCellMar>
      </w:tblPr>
      <w:tblGrid>
        <w:gridCol w:w="990"/>
        <w:gridCol w:w="1262"/>
        <w:gridCol w:w="182"/>
        <w:gridCol w:w="528"/>
        <w:gridCol w:w="691"/>
        <w:gridCol w:w="1094"/>
        <w:gridCol w:w="835"/>
        <w:gridCol w:w="979"/>
        <w:gridCol w:w="1203"/>
        <w:gridCol w:w="1298"/>
      </w:tblGrid>
      <w:tr w14:paraId="375D3D59">
        <w:tblPrEx>
          <w:tblCellMar>
            <w:top w:w="0" w:type="dxa"/>
            <w:left w:w="108" w:type="dxa"/>
            <w:bottom w:w="0" w:type="dxa"/>
            <w:right w:w="108" w:type="dxa"/>
          </w:tblCellMar>
        </w:tblPrEx>
        <w:trPr>
          <w:trHeight w:val="487" w:hRule="atLeast"/>
          <w:jc w:val="center"/>
        </w:trPr>
        <w:tc>
          <w:tcPr>
            <w:tcW w:w="990" w:type="dxa"/>
            <w:tcBorders>
              <w:top w:val="single" w:color="auto" w:sz="4" w:space="0"/>
              <w:left w:val="single" w:color="auto" w:sz="4" w:space="0"/>
              <w:bottom w:val="single" w:color="auto" w:sz="4" w:space="0"/>
              <w:right w:val="single" w:color="auto" w:sz="4" w:space="0"/>
            </w:tcBorders>
            <w:vAlign w:val="center"/>
          </w:tcPr>
          <w:p w14:paraId="11DD5685">
            <w:pPr>
              <w:widowControl/>
              <w:jc w:val="center"/>
              <w:rPr>
                <w:rFonts w:ascii="宋体" w:hAnsi="宋体" w:cs="宋体"/>
                <w:color w:val="auto"/>
                <w:highlight w:val="none"/>
              </w:rPr>
            </w:pPr>
            <w:r>
              <w:rPr>
                <w:rFonts w:hint="eastAsia" w:ascii="宋体" w:hAnsi="宋体" w:cs="宋体"/>
                <w:color w:val="auto"/>
                <w:kern w:val="0"/>
                <w:sz w:val="22"/>
                <w:highlight w:val="none"/>
              </w:rPr>
              <w:t>采购单位</w:t>
            </w:r>
          </w:p>
        </w:tc>
        <w:tc>
          <w:tcPr>
            <w:tcW w:w="2663" w:type="dxa"/>
            <w:gridSpan w:val="4"/>
            <w:tcBorders>
              <w:top w:val="single" w:color="auto" w:sz="4" w:space="0"/>
              <w:left w:val="nil"/>
              <w:bottom w:val="single" w:color="auto" w:sz="4" w:space="0"/>
              <w:right w:val="single" w:color="000000" w:sz="4" w:space="0"/>
            </w:tcBorders>
            <w:vAlign w:val="center"/>
          </w:tcPr>
          <w:p w14:paraId="6B60FE52">
            <w:pPr>
              <w:widowControl/>
              <w:jc w:val="center"/>
              <w:rPr>
                <w:rFonts w:ascii="宋体" w:hAnsi="宋体" w:cs="宋体"/>
                <w:color w:val="auto"/>
                <w:highlight w:val="none"/>
              </w:rPr>
            </w:pPr>
            <w:r>
              <w:rPr>
                <w:rFonts w:hint="eastAsia" w:ascii="宋体" w:hAnsi="宋体" w:cs="宋体"/>
                <w:color w:val="auto"/>
                <w:kern w:val="0"/>
                <w:sz w:val="22"/>
                <w:highlight w:val="none"/>
              </w:rPr>
              <w:t>　</w:t>
            </w:r>
          </w:p>
        </w:tc>
        <w:tc>
          <w:tcPr>
            <w:tcW w:w="1094" w:type="dxa"/>
            <w:tcBorders>
              <w:top w:val="single" w:color="auto" w:sz="4" w:space="0"/>
              <w:left w:val="nil"/>
              <w:bottom w:val="single" w:color="auto" w:sz="4" w:space="0"/>
              <w:right w:val="single" w:color="auto" w:sz="4" w:space="0"/>
            </w:tcBorders>
            <w:vAlign w:val="center"/>
          </w:tcPr>
          <w:p w14:paraId="5EC6B080">
            <w:pPr>
              <w:widowControl/>
              <w:jc w:val="center"/>
              <w:rPr>
                <w:rFonts w:ascii="宋体" w:hAnsi="宋体" w:cs="宋体"/>
                <w:color w:val="auto"/>
                <w:highlight w:val="none"/>
              </w:rPr>
            </w:pPr>
            <w:r>
              <w:rPr>
                <w:rFonts w:hint="eastAsia" w:ascii="宋体" w:hAnsi="宋体" w:cs="宋体"/>
                <w:color w:val="auto"/>
                <w:kern w:val="0"/>
                <w:sz w:val="22"/>
                <w:highlight w:val="none"/>
              </w:rPr>
              <w:t>项目名称</w:t>
            </w:r>
          </w:p>
        </w:tc>
        <w:tc>
          <w:tcPr>
            <w:tcW w:w="1814" w:type="dxa"/>
            <w:gridSpan w:val="2"/>
            <w:tcBorders>
              <w:top w:val="single" w:color="auto" w:sz="4" w:space="0"/>
              <w:left w:val="nil"/>
              <w:bottom w:val="single" w:color="auto" w:sz="4" w:space="0"/>
              <w:right w:val="single" w:color="000000" w:sz="4" w:space="0"/>
            </w:tcBorders>
            <w:vAlign w:val="center"/>
          </w:tcPr>
          <w:p w14:paraId="515C99CF">
            <w:pPr>
              <w:widowControl/>
              <w:jc w:val="center"/>
              <w:rPr>
                <w:rFonts w:ascii="宋体" w:hAnsi="宋体" w:cs="宋体"/>
                <w:color w:val="auto"/>
                <w:highlight w:val="none"/>
              </w:rPr>
            </w:pPr>
            <w:r>
              <w:rPr>
                <w:rFonts w:hint="eastAsia" w:ascii="宋体" w:hAnsi="宋体" w:cs="宋体"/>
                <w:color w:val="auto"/>
                <w:kern w:val="0"/>
                <w:sz w:val="22"/>
                <w:highlight w:val="none"/>
              </w:rPr>
              <w:t>　</w:t>
            </w:r>
          </w:p>
        </w:tc>
        <w:tc>
          <w:tcPr>
            <w:tcW w:w="1203" w:type="dxa"/>
            <w:tcBorders>
              <w:top w:val="single" w:color="auto" w:sz="4" w:space="0"/>
              <w:left w:val="nil"/>
              <w:bottom w:val="single" w:color="auto" w:sz="4" w:space="0"/>
              <w:right w:val="single" w:color="auto" w:sz="4" w:space="0"/>
            </w:tcBorders>
            <w:vAlign w:val="center"/>
          </w:tcPr>
          <w:p w14:paraId="7E3C7443">
            <w:pPr>
              <w:widowControl/>
              <w:jc w:val="center"/>
              <w:rPr>
                <w:rFonts w:ascii="宋体" w:hAnsi="宋体" w:cs="宋体"/>
                <w:color w:val="auto"/>
                <w:highlight w:val="none"/>
              </w:rPr>
            </w:pPr>
            <w:r>
              <w:rPr>
                <w:rFonts w:hint="eastAsia" w:ascii="宋体" w:hAnsi="宋体" w:cs="宋体"/>
                <w:color w:val="auto"/>
                <w:kern w:val="0"/>
                <w:sz w:val="22"/>
                <w:highlight w:val="none"/>
              </w:rPr>
              <w:t>合同名称</w:t>
            </w:r>
          </w:p>
        </w:tc>
        <w:tc>
          <w:tcPr>
            <w:tcW w:w="1298" w:type="dxa"/>
            <w:tcBorders>
              <w:top w:val="single" w:color="auto" w:sz="4" w:space="0"/>
              <w:left w:val="nil"/>
              <w:bottom w:val="single" w:color="auto" w:sz="4" w:space="0"/>
              <w:right w:val="single" w:color="auto" w:sz="4" w:space="0"/>
            </w:tcBorders>
            <w:vAlign w:val="center"/>
          </w:tcPr>
          <w:p w14:paraId="684DA166">
            <w:pPr>
              <w:widowControl/>
              <w:jc w:val="center"/>
              <w:rPr>
                <w:rFonts w:ascii="宋体" w:hAnsi="宋体" w:cs="宋体"/>
                <w:color w:val="auto"/>
                <w:highlight w:val="none"/>
              </w:rPr>
            </w:pPr>
            <w:r>
              <w:rPr>
                <w:rFonts w:hint="eastAsia" w:ascii="宋体" w:hAnsi="宋体" w:cs="宋体"/>
                <w:color w:val="auto"/>
                <w:kern w:val="0"/>
                <w:sz w:val="22"/>
                <w:highlight w:val="none"/>
              </w:rPr>
              <w:t>　</w:t>
            </w:r>
          </w:p>
        </w:tc>
      </w:tr>
      <w:tr w14:paraId="2E8F7EBA">
        <w:tblPrEx>
          <w:tblCellMar>
            <w:top w:w="0" w:type="dxa"/>
            <w:left w:w="108" w:type="dxa"/>
            <w:bottom w:w="0" w:type="dxa"/>
            <w:right w:w="108" w:type="dxa"/>
          </w:tblCellMar>
        </w:tblPrEx>
        <w:trPr>
          <w:trHeight w:val="399" w:hRule="atLeast"/>
          <w:jc w:val="center"/>
        </w:trPr>
        <w:tc>
          <w:tcPr>
            <w:tcW w:w="990" w:type="dxa"/>
            <w:tcBorders>
              <w:top w:val="nil"/>
              <w:left w:val="single" w:color="auto" w:sz="4" w:space="0"/>
              <w:bottom w:val="single" w:color="auto" w:sz="4" w:space="0"/>
              <w:right w:val="single" w:color="auto" w:sz="4" w:space="0"/>
            </w:tcBorders>
            <w:vAlign w:val="center"/>
          </w:tcPr>
          <w:p w14:paraId="0BEFF35C">
            <w:pPr>
              <w:widowControl/>
              <w:jc w:val="center"/>
              <w:rPr>
                <w:rFonts w:ascii="宋体" w:hAnsi="宋体" w:cs="宋体"/>
                <w:color w:val="auto"/>
                <w:highlight w:val="none"/>
              </w:rPr>
            </w:pPr>
            <w:r>
              <w:rPr>
                <w:rFonts w:hint="eastAsia" w:ascii="宋体" w:hAnsi="宋体" w:cs="宋体"/>
                <w:color w:val="auto"/>
                <w:kern w:val="0"/>
                <w:sz w:val="22"/>
                <w:highlight w:val="none"/>
              </w:rPr>
              <w:t>供应商</w:t>
            </w:r>
          </w:p>
        </w:tc>
        <w:tc>
          <w:tcPr>
            <w:tcW w:w="2663" w:type="dxa"/>
            <w:gridSpan w:val="4"/>
            <w:tcBorders>
              <w:top w:val="single" w:color="auto" w:sz="4" w:space="0"/>
              <w:left w:val="nil"/>
              <w:bottom w:val="single" w:color="auto" w:sz="4" w:space="0"/>
              <w:right w:val="single" w:color="000000" w:sz="4" w:space="0"/>
            </w:tcBorders>
            <w:vAlign w:val="center"/>
          </w:tcPr>
          <w:p w14:paraId="10C68F2E">
            <w:pPr>
              <w:widowControl/>
              <w:rPr>
                <w:rFonts w:ascii="宋体" w:hAnsi="宋体" w:cs="宋体"/>
                <w:color w:val="auto"/>
                <w:highlight w:val="none"/>
              </w:rPr>
            </w:pPr>
          </w:p>
        </w:tc>
        <w:tc>
          <w:tcPr>
            <w:tcW w:w="1094" w:type="dxa"/>
            <w:tcBorders>
              <w:top w:val="nil"/>
              <w:left w:val="nil"/>
              <w:bottom w:val="single" w:color="auto" w:sz="4" w:space="0"/>
              <w:right w:val="single" w:color="auto" w:sz="4" w:space="0"/>
            </w:tcBorders>
            <w:vAlign w:val="center"/>
          </w:tcPr>
          <w:p w14:paraId="698A51AC">
            <w:pPr>
              <w:widowControl/>
              <w:jc w:val="center"/>
              <w:rPr>
                <w:rFonts w:ascii="宋体" w:hAnsi="宋体" w:cs="宋体"/>
                <w:color w:val="auto"/>
                <w:highlight w:val="none"/>
              </w:rPr>
            </w:pPr>
            <w:r>
              <w:rPr>
                <w:rFonts w:hint="eastAsia" w:ascii="宋体" w:hAnsi="宋体" w:cs="宋体"/>
                <w:color w:val="auto"/>
                <w:kern w:val="0"/>
                <w:sz w:val="22"/>
                <w:highlight w:val="none"/>
              </w:rPr>
              <w:t>合同编号</w:t>
            </w:r>
          </w:p>
        </w:tc>
        <w:tc>
          <w:tcPr>
            <w:tcW w:w="1814" w:type="dxa"/>
            <w:gridSpan w:val="2"/>
            <w:tcBorders>
              <w:top w:val="single" w:color="auto" w:sz="4" w:space="0"/>
              <w:left w:val="nil"/>
              <w:bottom w:val="single" w:color="auto" w:sz="4" w:space="0"/>
              <w:right w:val="single" w:color="000000" w:sz="4" w:space="0"/>
            </w:tcBorders>
            <w:vAlign w:val="center"/>
          </w:tcPr>
          <w:p w14:paraId="691C3121">
            <w:pPr>
              <w:widowControl/>
              <w:jc w:val="center"/>
              <w:rPr>
                <w:rFonts w:ascii="宋体" w:hAnsi="宋体" w:cs="宋体"/>
                <w:color w:val="auto"/>
                <w:highlight w:val="none"/>
              </w:rPr>
            </w:pPr>
            <w:r>
              <w:rPr>
                <w:rFonts w:hint="eastAsia" w:ascii="宋体" w:hAnsi="宋体" w:cs="宋体"/>
                <w:color w:val="auto"/>
                <w:kern w:val="0"/>
                <w:sz w:val="22"/>
                <w:highlight w:val="none"/>
              </w:rPr>
              <w:t>　</w:t>
            </w:r>
          </w:p>
        </w:tc>
        <w:tc>
          <w:tcPr>
            <w:tcW w:w="1203" w:type="dxa"/>
            <w:tcBorders>
              <w:top w:val="nil"/>
              <w:left w:val="nil"/>
              <w:bottom w:val="single" w:color="auto" w:sz="4" w:space="0"/>
              <w:right w:val="single" w:color="auto" w:sz="4" w:space="0"/>
            </w:tcBorders>
            <w:vAlign w:val="center"/>
          </w:tcPr>
          <w:p w14:paraId="44343420">
            <w:pPr>
              <w:widowControl/>
              <w:jc w:val="center"/>
              <w:rPr>
                <w:rFonts w:ascii="宋体" w:hAnsi="宋体" w:cs="宋体"/>
                <w:color w:val="auto"/>
                <w:highlight w:val="none"/>
              </w:rPr>
            </w:pPr>
            <w:r>
              <w:rPr>
                <w:rFonts w:hint="eastAsia" w:ascii="宋体" w:hAnsi="宋体" w:cs="宋体"/>
                <w:color w:val="auto"/>
                <w:kern w:val="0"/>
                <w:sz w:val="22"/>
                <w:highlight w:val="none"/>
              </w:rPr>
              <w:t>合同金额</w:t>
            </w:r>
          </w:p>
        </w:tc>
        <w:tc>
          <w:tcPr>
            <w:tcW w:w="1298" w:type="dxa"/>
            <w:tcBorders>
              <w:top w:val="nil"/>
              <w:left w:val="nil"/>
              <w:bottom w:val="single" w:color="auto" w:sz="4" w:space="0"/>
              <w:right w:val="single" w:color="auto" w:sz="4" w:space="0"/>
            </w:tcBorders>
            <w:vAlign w:val="center"/>
          </w:tcPr>
          <w:p w14:paraId="07DE8553">
            <w:pPr>
              <w:widowControl/>
              <w:jc w:val="center"/>
              <w:rPr>
                <w:rFonts w:ascii="宋体" w:hAnsi="宋体" w:cs="宋体"/>
                <w:color w:val="auto"/>
                <w:highlight w:val="none"/>
              </w:rPr>
            </w:pPr>
            <w:r>
              <w:rPr>
                <w:rFonts w:hint="eastAsia" w:ascii="宋体" w:hAnsi="宋体" w:cs="宋体"/>
                <w:color w:val="auto"/>
                <w:kern w:val="0"/>
                <w:sz w:val="22"/>
                <w:highlight w:val="none"/>
              </w:rPr>
              <w:t>　</w:t>
            </w:r>
          </w:p>
        </w:tc>
      </w:tr>
      <w:tr w14:paraId="6AE08F44">
        <w:tblPrEx>
          <w:tblCellMar>
            <w:top w:w="0" w:type="dxa"/>
            <w:left w:w="108" w:type="dxa"/>
            <w:bottom w:w="0" w:type="dxa"/>
            <w:right w:w="108" w:type="dxa"/>
          </w:tblCellMar>
        </w:tblPrEx>
        <w:trPr>
          <w:trHeight w:val="537" w:hRule="atLeast"/>
          <w:jc w:val="center"/>
        </w:trPr>
        <w:tc>
          <w:tcPr>
            <w:tcW w:w="990" w:type="dxa"/>
            <w:tcBorders>
              <w:top w:val="nil"/>
              <w:left w:val="single" w:color="auto" w:sz="4" w:space="0"/>
              <w:bottom w:val="single" w:color="auto" w:sz="4" w:space="0"/>
              <w:right w:val="single" w:color="auto" w:sz="4" w:space="0"/>
            </w:tcBorders>
            <w:vAlign w:val="center"/>
          </w:tcPr>
          <w:p w14:paraId="1358E45B">
            <w:pPr>
              <w:widowControl/>
              <w:jc w:val="center"/>
              <w:rPr>
                <w:rFonts w:ascii="宋体" w:hAnsi="宋体" w:cs="宋体"/>
                <w:color w:val="auto"/>
                <w:highlight w:val="none"/>
              </w:rPr>
            </w:pPr>
            <w:r>
              <w:rPr>
                <w:rFonts w:hint="eastAsia" w:ascii="宋体" w:hAnsi="宋体" w:cs="宋体"/>
                <w:color w:val="auto"/>
                <w:kern w:val="0"/>
                <w:sz w:val="22"/>
                <w:highlight w:val="none"/>
              </w:rPr>
              <w:t>分期验收</w:t>
            </w:r>
          </w:p>
        </w:tc>
        <w:tc>
          <w:tcPr>
            <w:tcW w:w="1444" w:type="dxa"/>
            <w:gridSpan w:val="2"/>
            <w:tcBorders>
              <w:top w:val="nil"/>
              <w:left w:val="nil"/>
              <w:bottom w:val="single" w:color="auto" w:sz="4" w:space="0"/>
              <w:right w:val="single" w:color="auto" w:sz="4" w:space="0"/>
            </w:tcBorders>
            <w:vAlign w:val="center"/>
          </w:tcPr>
          <w:p w14:paraId="430DCF89">
            <w:pPr>
              <w:widowControl/>
              <w:jc w:val="center"/>
              <w:rPr>
                <w:rFonts w:ascii="宋体" w:hAnsi="宋体" w:cs="宋体"/>
                <w:color w:val="auto"/>
                <w:highlight w:val="none"/>
              </w:rPr>
            </w:pPr>
          </w:p>
        </w:tc>
        <w:tc>
          <w:tcPr>
            <w:tcW w:w="1219" w:type="dxa"/>
            <w:gridSpan w:val="2"/>
            <w:tcBorders>
              <w:top w:val="single" w:color="auto" w:sz="4" w:space="0"/>
              <w:left w:val="single" w:color="auto" w:sz="4" w:space="0"/>
              <w:bottom w:val="single" w:color="auto" w:sz="4" w:space="0"/>
              <w:right w:val="single" w:color="auto" w:sz="4" w:space="0"/>
            </w:tcBorders>
            <w:vAlign w:val="center"/>
          </w:tcPr>
          <w:p w14:paraId="258DC16F">
            <w:pPr>
              <w:widowControl/>
              <w:jc w:val="center"/>
              <w:rPr>
                <w:rFonts w:ascii="宋体" w:hAnsi="宋体" w:cs="宋体"/>
                <w:color w:val="auto"/>
                <w:highlight w:val="none"/>
              </w:rPr>
            </w:pPr>
            <w:r>
              <w:rPr>
                <w:rFonts w:hint="eastAsia" w:ascii="宋体" w:hAnsi="宋体" w:cs="宋体"/>
                <w:color w:val="auto"/>
                <w:kern w:val="0"/>
                <w:sz w:val="22"/>
                <w:highlight w:val="none"/>
              </w:rPr>
              <w:t>分期情况</w:t>
            </w:r>
          </w:p>
        </w:tc>
        <w:tc>
          <w:tcPr>
            <w:tcW w:w="5409" w:type="dxa"/>
            <w:gridSpan w:val="5"/>
            <w:tcBorders>
              <w:top w:val="single" w:color="auto" w:sz="4" w:space="0"/>
              <w:left w:val="single" w:color="auto" w:sz="4" w:space="0"/>
              <w:bottom w:val="single" w:color="auto" w:sz="4" w:space="0"/>
              <w:right w:val="single" w:color="auto" w:sz="4" w:space="0"/>
            </w:tcBorders>
            <w:vAlign w:val="center"/>
          </w:tcPr>
          <w:p w14:paraId="161EC2BD">
            <w:pPr>
              <w:widowControl/>
              <w:jc w:val="center"/>
              <w:rPr>
                <w:rFonts w:ascii="宋体" w:hAnsi="宋体" w:cs="宋体"/>
                <w:color w:val="auto"/>
                <w:highlight w:val="none"/>
              </w:rPr>
            </w:pPr>
            <w:r>
              <w:rPr>
                <w:rFonts w:hint="eastAsia" w:ascii="宋体" w:hAnsi="宋体" w:cs="宋体"/>
                <w:color w:val="auto"/>
                <w:kern w:val="0"/>
                <w:sz w:val="22"/>
                <w:highlight w:val="none"/>
              </w:rPr>
              <w:t>共分  期，此为第  期验收</w:t>
            </w:r>
          </w:p>
        </w:tc>
      </w:tr>
      <w:tr w14:paraId="4695F355">
        <w:tblPrEx>
          <w:tblCellMar>
            <w:top w:w="0" w:type="dxa"/>
            <w:left w:w="108" w:type="dxa"/>
            <w:bottom w:w="0" w:type="dxa"/>
            <w:right w:w="108" w:type="dxa"/>
          </w:tblCellMar>
        </w:tblPrEx>
        <w:trPr>
          <w:trHeight w:val="882" w:hRule="atLeast"/>
          <w:jc w:val="center"/>
        </w:trPr>
        <w:tc>
          <w:tcPr>
            <w:tcW w:w="990" w:type="dxa"/>
            <w:tcBorders>
              <w:top w:val="nil"/>
              <w:left w:val="single" w:color="auto" w:sz="4" w:space="0"/>
              <w:bottom w:val="single" w:color="auto" w:sz="4" w:space="0"/>
              <w:right w:val="single" w:color="auto" w:sz="4" w:space="0"/>
            </w:tcBorders>
            <w:vAlign w:val="center"/>
          </w:tcPr>
          <w:p w14:paraId="49A67C59">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实施验收过程基本情况</w:t>
            </w:r>
          </w:p>
        </w:tc>
        <w:tc>
          <w:tcPr>
            <w:tcW w:w="8072" w:type="dxa"/>
            <w:gridSpan w:val="9"/>
            <w:tcBorders>
              <w:top w:val="nil"/>
              <w:left w:val="nil"/>
              <w:bottom w:val="single" w:color="auto" w:sz="4" w:space="0"/>
              <w:right w:val="single" w:color="auto" w:sz="4" w:space="0"/>
            </w:tcBorders>
            <w:vAlign w:val="center"/>
          </w:tcPr>
          <w:p w14:paraId="6C05B965">
            <w:pPr>
              <w:widowControl/>
              <w:snapToGrid w:val="0"/>
              <w:jc w:val="center"/>
              <w:rPr>
                <w:rFonts w:ascii="宋体" w:hAnsi="宋体" w:cs="宋体"/>
                <w:color w:val="auto"/>
                <w:highlight w:val="none"/>
              </w:rPr>
            </w:pPr>
          </w:p>
        </w:tc>
      </w:tr>
      <w:tr w14:paraId="6C280660">
        <w:tblPrEx>
          <w:tblCellMar>
            <w:top w:w="0" w:type="dxa"/>
            <w:left w:w="108" w:type="dxa"/>
            <w:bottom w:w="0" w:type="dxa"/>
            <w:right w:w="108" w:type="dxa"/>
          </w:tblCellMar>
        </w:tblPrEx>
        <w:trPr>
          <w:trHeight w:val="657" w:hRule="atLeast"/>
          <w:jc w:val="center"/>
        </w:trPr>
        <w:tc>
          <w:tcPr>
            <w:tcW w:w="990" w:type="dxa"/>
            <w:tcBorders>
              <w:top w:val="nil"/>
              <w:left w:val="single" w:color="auto" w:sz="4" w:space="0"/>
              <w:bottom w:val="single" w:color="auto" w:sz="4" w:space="0"/>
              <w:right w:val="single" w:color="auto" w:sz="4" w:space="0"/>
            </w:tcBorders>
            <w:vAlign w:val="center"/>
          </w:tcPr>
          <w:p w14:paraId="06EFB82A">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验收内容</w:t>
            </w:r>
          </w:p>
        </w:tc>
        <w:tc>
          <w:tcPr>
            <w:tcW w:w="1262" w:type="dxa"/>
            <w:tcBorders>
              <w:top w:val="nil"/>
              <w:left w:val="nil"/>
              <w:bottom w:val="single" w:color="auto" w:sz="4" w:space="0"/>
              <w:right w:val="single" w:color="auto" w:sz="4" w:space="0"/>
            </w:tcBorders>
            <w:vAlign w:val="center"/>
          </w:tcPr>
          <w:p w14:paraId="194CEC92">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项目启动时间、</w:t>
            </w:r>
          </w:p>
          <w:p w14:paraId="33AF859A">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完成时间</w:t>
            </w:r>
          </w:p>
        </w:tc>
        <w:tc>
          <w:tcPr>
            <w:tcW w:w="1401" w:type="dxa"/>
            <w:gridSpan w:val="3"/>
            <w:tcBorders>
              <w:top w:val="nil"/>
              <w:left w:val="nil"/>
              <w:bottom w:val="single" w:color="auto" w:sz="4" w:space="0"/>
              <w:right w:val="single" w:color="auto" w:sz="4" w:space="0"/>
            </w:tcBorders>
            <w:vAlign w:val="center"/>
          </w:tcPr>
          <w:p w14:paraId="4EB0D886">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服务内容、服务响应</w:t>
            </w:r>
          </w:p>
        </w:tc>
        <w:tc>
          <w:tcPr>
            <w:tcW w:w="1094" w:type="dxa"/>
            <w:tcBorders>
              <w:top w:val="nil"/>
              <w:left w:val="nil"/>
              <w:bottom w:val="single" w:color="auto" w:sz="4" w:space="0"/>
              <w:right w:val="single" w:color="auto" w:sz="4" w:space="0"/>
            </w:tcBorders>
            <w:vAlign w:val="center"/>
          </w:tcPr>
          <w:p w14:paraId="66D122D0">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服务技术能力</w:t>
            </w:r>
          </w:p>
        </w:tc>
        <w:tc>
          <w:tcPr>
            <w:tcW w:w="835" w:type="dxa"/>
            <w:tcBorders>
              <w:top w:val="nil"/>
              <w:left w:val="nil"/>
              <w:bottom w:val="single" w:color="auto" w:sz="4" w:space="0"/>
              <w:right w:val="single" w:color="auto" w:sz="4" w:space="0"/>
            </w:tcBorders>
            <w:vAlign w:val="center"/>
          </w:tcPr>
          <w:p w14:paraId="60CB5D15">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服务态度</w:t>
            </w:r>
          </w:p>
          <w:p w14:paraId="437D2D62">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满意度</w:t>
            </w:r>
          </w:p>
        </w:tc>
        <w:tc>
          <w:tcPr>
            <w:tcW w:w="979" w:type="dxa"/>
            <w:tcBorders>
              <w:top w:val="nil"/>
              <w:left w:val="nil"/>
              <w:bottom w:val="single" w:color="auto" w:sz="4" w:space="0"/>
              <w:right w:val="single" w:color="auto" w:sz="4" w:space="0"/>
            </w:tcBorders>
            <w:vAlign w:val="center"/>
          </w:tcPr>
          <w:p w14:paraId="602B839B">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质量证明文件</w:t>
            </w:r>
          </w:p>
        </w:tc>
        <w:tc>
          <w:tcPr>
            <w:tcW w:w="1203" w:type="dxa"/>
            <w:tcBorders>
              <w:top w:val="nil"/>
              <w:left w:val="nil"/>
              <w:bottom w:val="single" w:color="auto" w:sz="4" w:space="0"/>
              <w:right w:val="single" w:color="auto" w:sz="4" w:space="0"/>
            </w:tcBorders>
            <w:vAlign w:val="center"/>
          </w:tcPr>
          <w:p w14:paraId="723ADEA2">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售后服务承诺</w:t>
            </w:r>
          </w:p>
        </w:tc>
        <w:tc>
          <w:tcPr>
            <w:tcW w:w="1298" w:type="dxa"/>
            <w:tcBorders>
              <w:top w:val="nil"/>
              <w:left w:val="nil"/>
              <w:bottom w:val="single" w:color="auto" w:sz="4" w:space="0"/>
              <w:right w:val="single" w:color="auto" w:sz="4" w:space="0"/>
            </w:tcBorders>
            <w:vAlign w:val="center"/>
          </w:tcPr>
          <w:p w14:paraId="24696CBC">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合同履约时间、地点、方式</w:t>
            </w:r>
          </w:p>
        </w:tc>
      </w:tr>
      <w:tr w14:paraId="3C4DD731">
        <w:tblPrEx>
          <w:tblCellMar>
            <w:top w:w="0" w:type="dxa"/>
            <w:left w:w="108" w:type="dxa"/>
            <w:bottom w:w="0" w:type="dxa"/>
            <w:right w:w="108" w:type="dxa"/>
          </w:tblCellMar>
        </w:tblPrEx>
        <w:trPr>
          <w:trHeight w:val="691" w:hRule="atLeast"/>
          <w:jc w:val="center"/>
        </w:trPr>
        <w:tc>
          <w:tcPr>
            <w:tcW w:w="990" w:type="dxa"/>
            <w:tcBorders>
              <w:top w:val="nil"/>
              <w:left w:val="single" w:color="auto" w:sz="4" w:space="0"/>
              <w:bottom w:val="single" w:color="auto" w:sz="4" w:space="0"/>
              <w:right w:val="single" w:color="auto" w:sz="4" w:space="0"/>
            </w:tcBorders>
            <w:vAlign w:val="center"/>
          </w:tcPr>
          <w:p w14:paraId="263E8747">
            <w:pPr>
              <w:widowControl/>
              <w:jc w:val="center"/>
              <w:rPr>
                <w:rFonts w:ascii="宋体" w:hAnsi="宋体" w:cs="宋体"/>
                <w:color w:val="auto"/>
                <w:highlight w:val="none"/>
              </w:rPr>
            </w:pPr>
            <w:r>
              <w:rPr>
                <w:rFonts w:hint="eastAsia" w:ascii="宋体" w:hAnsi="宋体" w:cs="宋体"/>
                <w:color w:val="auto"/>
                <w:kern w:val="0"/>
                <w:sz w:val="22"/>
                <w:highlight w:val="none"/>
              </w:rPr>
              <w:t>服务内容</w:t>
            </w:r>
          </w:p>
        </w:tc>
        <w:tc>
          <w:tcPr>
            <w:tcW w:w="1262" w:type="dxa"/>
            <w:tcBorders>
              <w:top w:val="nil"/>
              <w:left w:val="nil"/>
              <w:bottom w:val="single" w:color="auto" w:sz="4" w:space="0"/>
              <w:right w:val="single" w:color="auto" w:sz="4" w:space="0"/>
            </w:tcBorders>
            <w:vAlign w:val="center"/>
          </w:tcPr>
          <w:p w14:paraId="53AA77D5">
            <w:pPr>
              <w:widowControl/>
              <w:jc w:val="center"/>
              <w:rPr>
                <w:rFonts w:ascii="宋体" w:hAnsi="宋体" w:cs="宋体"/>
                <w:color w:val="auto"/>
                <w:highlight w:val="none"/>
              </w:rPr>
            </w:pPr>
            <w:r>
              <w:rPr>
                <w:rFonts w:hint="eastAsia" w:ascii="宋体" w:hAnsi="宋体" w:cs="宋体"/>
                <w:color w:val="auto"/>
                <w:kern w:val="0"/>
                <w:sz w:val="22"/>
                <w:highlight w:val="none"/>
              </w:rPr>
              <w:t>　</w:t>
            </w:r>
          </w:p>
        </w:tc>
        <w:tc>
          <w:tcPr>
            <w:tcW w:w="1401" w:type="dxa"/>
            <w:gridSpan w:val="3"/>
            <w:tcBorders>
              <w:top w:val="nil"/>
              <w:left w:val="nil"/>
              <w:bottom w:val="single" w:color="auto" w:sz="4" w:space="0"/>
              <w:right w:val="single" w:color="auto" w:sz="4" w:space="0"/>
            </w:tcBorders>
            <w:vAlign w:val="center"/>
          </w:tcPr>
          <w:p w14:paraId="25BBE6FB">
            <w:pPr>
              <w:widowControl/>
              <w:jc w:val="center"/>
              <w:rPr>
                <w:rFonts w:ascii="宋体" w:hAnsi="宋体" w:cs="宋体"/>
                <w:color w:val="auto"/>
                <w:highlight w:val="none"/>
              </w:rPr>
            </w:pPr>
            <w:r>
              <w:rPr>
                <w:rFonts w:hint="eastAsia" w:ascii="宋体" w:hAnsi="宋体" w:cs="宋体"/>
                <w:color w:val="auto"/>
                <w:kern w:val="0"/>
                <w:sz w:val="22"/>
                <w:highlight w:val="none"/>
              </w:rPr>
              <w:t>　</w:t>
            </w:r>
          </w:p>
        </w:tc>
        <w:tc>
          <w:tcPr>
            <w:tcW w:w="1094" w:type="dxa"/>
            <w:tcBorders>
              <w:top w:val="nil"/>
              <w:left w:val="nil"/>
              <w:bottom w:val="single" w:color="auto" w:sz="4" w:space="0"/>
              <w:right w:val="single" w:color="auto" w:sz="4" w:space="0"/>
            </w:tcBorders>
            <w:vAlign w:val="center"/>
          </w:tcPr>
          <w:p w14:paraId="643856D5">
            <w:pPr>
              <w:widowControl/>
              <w:jc w:val="center"/>
              <w:rPr>
                <w:rFonts w:ascii="宋体" w:hAnsi="宋体" w:cs="宋体"/>
                <w:color w:val="auto"/>
                <w:highlight w:val="none"/>
              </w:rPr>
            </w:pPr>
            <w:r>
              <w:rPr>
                <w:rFonts w:hint="eastAsia" w:ascii="宋体" w:hAnsi="宋体" w:cs="宋体"/>
                <w:color w:val="auto"/>
                <w:kern w:val="0"/>
                <w:sz w:val="22"/>
                <w:highlight w:val="none"/>
              </w:rPr>
              <w:t>　</w:t>
            </w:r>
          </w:p>
        </w:tc>
        <w:tc>
          <w:tcPr>
            <w:tcW w:w="835" w:type="dxa"/>
            <w:tcBorders>
              <w:top w:val="nil"/>
              <w:left w:val="nil"/>
              <w:bottom w:val="single" w:color="auto" w:sz="4" w:space="0"/>
              <w:right w:val="single" w:color="auto" w:sz="4" w:space="0"/>
            </w:tcBorders>
            <w:vAlign w:val="center"/>
          </w:tcPr>
          <w:p w14:paraId="695888E4">
            <w:pPr>
              <w:widowControl/>
              <w:jc w:val="center"/>
              <w:rPr>
                <w:rFonts w:ascii="宋体" w:hAnsi="宋体" w:cs="宋体"/>
                <w:color w:val="auto"/>
                <w:highlight w:val="none"/>
              </w:rPr>
            </w:pPr>
            <w:r>
              <w:rPr>
                <w:rFonts w:hint="eastAsia" w:ascii="宋体" w:hAnsi="宋体" w:cs="宋体"/>
                <w:color w:val="auto"/>
                <w:kern w:val="0"/>
                <w:sz w:val="22"/>
                <w:highlight w:val="none"/>
              </w:rPr>
              <w:t>　</w:t>
            </w:r>
          </w:p>
        </w:tc>
        <w:tc>
          <w:tcPr>
            <w:tcW w:w="979" w:type="dxa"/>
            <w:tcBorders>
              <w:top w:val="nil"/>
              <w:left w:val="nil"/>
              <w:bottom w:val="single" w:color="auto" w:sz="4" w:space="0"/>
              <w:right w:val="single" w:color="auto" w:sz="4" w:space="0"/>
            </w:tcBorders>
            <w:vAlign w:val="center"/>
          </w:tcPr>
          <w:p w14:paraId="6D1AA132">
            <w:pPr>
              <w:widowControl/>
              <w:jc w:val="center"/>
              <w:rPr>
                <w:rFonts w:ascii="宋体" w:hAnsi="宋体" w:cs="宋体"/>
                <w:color w:val="auto"/>
                <w:highlight w:val="none"/>
              </w:rPr>
            </w:pPr>
            <w:r>
              <w:rPr>
                <w:rFonts w:hint="eastAsia" w:ascii="宋体" w:hAnsi="宋体" w:cs="宋体"/>
                <w:color w:val="auto"/>
                <w:kern w:val="0"/>
                <w:sz w:val="22"/>
                <w:highlight w:val="none"/>
              </w:rPr>
              <w:t>　</w:t>
            </w:r>
          </w:p>
        </w:tc>
        <w:tc>
          <w:tcPr>
            <w:tcW w:w="1203" w:type="dxa"/>
            <w:tcBorders>
              <w:top w:val="nil"/>
              <w:left w:val="nil"/>
              <w:bottom w:val="single" w:color="auto" w:sz="4" w:space="0"/>
              <w:right w:val="single" w:color="auto" w:sz="4" w:space="0"/>
            </w:tcBorders>
            <w:vAlign w:val="center"/>
          </w:tcPr>
          <w:p w14:paraId="2B9702E3">
            <w:pPr>
              <w:widowControl/>
              <w:jc w:val="center"/>
              <w:rPr>
                <w:rFonts w:ascii="宋体" w:hAnsi="宋体" w:cs="宋体"/>
                <w:color w:val="auto"/>
                <w:highlight w:val="none"/>
              </w:rPr>
            </w:pPr>
            <w:r>
              <w:rPr>
                <w:rFonts w:hint="eastAsia" w:ascii="宋体" w:hAnsi="宋体" w:cs="宋体"/>
                <w:color w:val="auto"/>
                <w:kern w:val="0"/>
                <w:sz w:val="22"/>
                <w:highlight w:val="none"/>
              </w:rPr>
              <w:t>　</w:t>
            </w:r>
          </w:p>
        </w:tc>
        <w:tc>
          <w:tcPr>
            <w:tcW w:w="1298" w:type="dxa"/>
            <w:tcBorders>
              <w:top w:val="nil"/>
              <w:left w:val="nil"/>
              <w:bottom w:val="single" w:color="auto" w:sz="4" w:space="0"/>
              <w:right w:val="single" w:color="auto" w:sz="4" w:space="0"/>
            </w:tcBorders>
            <w:vAlign w:val="center"/>
          </w:tcPr>
          <w:p w14:paraId="29E3BBEB">
            <w:pPr>
              <w:widowControl/>
              <w:jc w:val="center"/>
              <w:rPr>
                <w:rFonts w:ascii="宋体" w:hAnsi="宋体" w:cs="宋体"/>
                <w:color w:val="auto"/>
                <w:highlight w:val="none"/>
              </w:rPr>
            </w:pPr>
            <w:r>
              <w:rPr>
                <w:rFonts w:hint="eastAsia" w:ascii="宋体" w:hAnsi="宋体" w:cs="宋体"/>
                <w:color w:val="auto"/>
                <w:kern w:val="0"/>
                <w:sz w:val="22"/>
                <w:highlight w:val="none"/>
              </w:rPr>
              <w:t>　</w:t>
            </w:r>
          </w:p>
        </w:tc>
      </w:tr>
      <w:tr w14:paraId="50EB7336">
        <w:tblPrEx>
          <w:tblCellMar>
            <w:top w:w="0" w:type="dxa"/>
            <w:left w:w="108" w:type="dxa"/>
            <w:bottom w:w="0" w:type="dxa"/>
            <w:right w:w="108" w:type="dxa"/>
          </w:tblCellMar>
        </w:tblPrEx>
        <w:trPr>
          <w:trHeight w:val="751" w:hRule="atLeast"/>
          <w:jc w:val="center"/>
        </w:trPr>
        <w:tc>
          <w:tcPr>
            <w:tcW w:w="990" w:type="dxa"/>
            <w:tcBorders>
              <w:top w:val="nil"/>
              <w:left w:val="single" w:color="auto" w:sz="4" w:space="0"/>
              <w:bottom w:val="single" w:color="auto" w:sz="4" w:space="0"/>
              <w:right w:val="single" w:color="auto" w:sz="4" w:space="0"/>
            </w:tcBorders>
            <w:vAlign w:val="center"/>
          </w:tcPr>
          <w:p w14:paraId="2FEF23E4">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分项验收结论</w:t>
            </w:r>
          </w:p>
        </w:tc>
        <w:tc>
          <w:tcPr>
            <w:tcW w:w="1262" w:type="dxa"/>
            <w:tcBorders>
              <w:top w:val="nil"/>
              <w:left w:val="nil"/>
              <w:bottom w:val="single" w:color="auto" w:sz="4" w:space="0"/>
              <w:right w:val="single" w:color="auto" w:sz="4" w:space="0"/>
            </w:tcBorders>
            <w:vAlign w:val="center"/>
          </w:tcPr>
          <w:p w14:paraId="0D8F4E33">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 xml:space="preserve">合  格□      </w:t>
            </w:r>
          </w:p>
          <w:p w14:paraId="6A1EDEC3">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不合格□</w:t>
            </w:r>
          </w:p>
        </w:tc>
        <w:tc>
          <w:tcPr>
            <w:tcW w:w="1401" w:type="dxa"/>
            <w:gridSpan w:val="3"/>
            <w:tcBorders>
              <w:top w:val="nil"/>
              <w:left w:val="nil"/>
              <w:bottom w:val="single" w:color="auto" w:sz="4" w:space="0"/>
              <w:right w:val="single" w:color="auto" w:sz="4" w:space="0"/>
            </w:tcBorders>
            <w:vAlign w:val="center"/>
          </w:tcPr>
          <w:p w14:paraId="603BDE1C">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合  格□            不合格□</w:t>
            </w:r>
          </w:p>
        </w:tc>
        <w:tc>
          <w:tcPr>
            <w:tcW w:w="1094" w:type="dxa"/>
            <w:tcBorders>
              <w:top w:val="nil"/>
              <w:left w:val="nil"/>
              <w:bottom w:val="single" w:color="auto" w:sz="4" w:space="0"/>
              <w:right w:val="single" w:color="auto" w:sz="4" w:space="0"/>
            </w:tcBorders>
            <w:vAlign w:val="center"/>
          </w:tcPr>
          <w:p w14:paraId="323C042E">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合  格□      不合格□</w:t>
            </w:r>
          </w:p>
        </w:tc>
        <w:tc>
          <w:tcPr>
            <w:tcW w:w="835" w:type="dxa"/>
            <w:tcBorders>
              <w:top w:val="nil"/>
              <w:left w:val="nil"/>
              <w:bottom w:val="single" w:color="auto" w:sz="4" w:space="0"/>
              <w:right w:val="single" w:color="auto" w:sz="4" w:space="0"/>
            </w:tcBorders>
            <w:vAlign w:val="center"/>
          </w:tcPr>
          <w:p w14:paraId="1FA4AA2A">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合  格□      不合格□</w:t>
            </w:r>
          </w:p>
        </w:tc>
        <w:tc>
          <w:tcPr>
            <w:tcW w:w="979" w:type="dxa"/>
            <w:tcBorders>
              <w:top w:val="nil"/>
              <w:left w:val="nil"/>
              <w:bottom w:val="single" w:color="auto" w:sz="4" w:space="0"/>
              <w:right w:val="single" w:color="auto" w:sz="4" w:space="0"/>
            </w:tcBorders>
            <w:vAlign w:val="center"/>
          </w:tcPr>
          <w:p w14:paraId="072BC998">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合  格□      不合格□</w:t>
            </w:r>
          </w:p>
        </w:tc>
        <w:tc>
          <w:tcPr>
            <w:tcW w:w="1203" w:type="dxa"/>
            <w:tcBorders>
              <w:top w:val="nil"/>
              <w:left w:val="nil"/>
              <w:bottom w:val="single" w:color="auto" w:sz="4" w:space="0"/>
              <w:right w:val="single" w:color="auto" w:sz="4" w:space="0"/>
            </w:tcBorders>
            <w:vAlign w:val="center"/>
          </w:tcPr>
          <w:p w14:paraId="287C62B0">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合  格□      不合格□</w:t>
            </w:r>
          </w:p>
        </w:tc>
        <w:tc>
          <w:tcPr>
            <w:tcW w:w="1298" w:type="dxa"/>
            <w:tcBorders>
              <w:top w:val="nil"/>
              <w:left w:val="nil"/>
              <w:bottom w:val="single" w:color="auto" w:sz="4" w:space="0"/>
              <w:right w:val="single" w:color="auto" w:sz="4" w:space="0"/>
            </w:tcBorders>
            <w:vAlign w:val="center"/>
          </w:tcPr>
          <w:p w14:paraId="68C88220">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合  格□      不合格□</w:t>
            </w:r>
          </w:p>
        </w:tc>
      </w:tr>
      <w:tr w14:paraId="0F040370">
        <w:tblPrEx>
          <w:tblCellMar>
            <w:top w:w="0" w:type="dxa"/>
            <w:left w:w="108" w:type="dxa"/>
            <w:bottom w:w="0" w:type="dxa"/>
            <w:right w:w="108" w:type="dxa"/>
          </w:tblCellMar>
        </w:tblPrEx>
        <w:trPr>
          <w:trHeight w:val="413" w:hRule="atLeast"/>
          <w:jc w:val="center"/>
        </w:trPr>
        <w:tc>
          <w:tcPr>
            <w:tcW w:w="990" w:type="dxa"/>
            <w:tcBorders>
              <w:top w:val="nil"/>
              <w:left w:val="single" w:color="auto" w:sz="4" w:space="0"/>
              <w:bottom w:val="single" w:color="auto" w:sz="4" w:space="0"/>
              <w:right w:val="single" w:color="auto" w:sz="4" w:space="0"/>
            </w:tcBorders>
            <w:vAlign w:val="center"/>
          </w:tcPr>
          <w:p w14:paraId="04C99066">
            <w:pPr>
              <w:widowControl/>
              <w:jc w:val="center"/>
              <w:rPr>
                <w:rFonts w:ascii="宋体" w:hAnsi="宋体" w:cs="宋体"/>
                <w:color w:val="auto"/>
                <w:highlight w:val="none"/>
              </w:rPr>
            </w:pPr>
            <w:r>
              <w:rPr>
                <w:rFonts w:hint="eastAsia" w:ascii="宋体" w:hAnsi="宋体" w:cs="宋体"/>
                <w:color w:val="auto"/>
                <w:kern w:val="0"/>
                <w:sz w:val="22"/>
                <w:highlight w:val="none"/>
              </w:rPr>
              <w:t>最终验收结论</w:t>
            </w:r>
          </w:p>
        </w:tc>
        <w:tc>
          <w:tcPr>
            <w:tcW w:w="8072" w:type="dxa"/>
            <w:gridSpan w:val="9"/>
            <w:tcBorders>
              <w:top w:val="single" w:color="auto" w:sz="4" w:space="0"/>
              <w:left w:val="nil"/>
              <w:bottom w:val="single" w:color="auto" w:sz="4" w:space="0"/>
              <w:right w:val="single" w:color="000000" w:sz="4" w:space="0"/>
            </w:tcBorders>
            <w:vAlign w:val="center"/>
          </w:tcPr>
          <w:p w14:paraId="3A9E1E0C">
            <w:pPr>
              <w:widowControl/>
              <w:jc w:val="center"/>
              <w:rPr>
                <w:rFonts w:ascii="宋体" w:hAnsi="宋体" w:cs="宋体"/>
                <w:color w:val="auto"/>
                <w:highlight w:val="none"/>
              </w:rPr>
            </w:pPr>
            <w:r>
              <w:rPr>
                <w:rFonts w:hint="eastAsia" w:ascii="宋体" w:hAnsi="宋体" w:cs="宋体"/>
                <w:color w:val="auto"/>
                <w:kern w:val="0"/>
                <w:sz w:val="22"/>
                <w:highlight w:val="none"/>
              </w:rPr>
              <w:t>合  格□                          不合格□</w:t>
            </w:r>
          </w:p>
        </w:tc>
      </w:tr>
      <w:tr w14:paraId="3A77E456">
        <w:tblPrEx>
          <w:tblCellMar>
            <w:top w:w="0" w:type="dxa"/>
            <w:left w:w="108" w:type="dxa"/>
            <w:bottom w:w="0" w:type="dxa"/>
            <w:right w:w="108" w:type="dxa"/>
          </w:tblCellMar>
        </w:tblPrEx>
        <w:trPr>
          <w:trHeight w:val="1539" w:hRule="atLeast"/>
          <w:jc w:val="center"/>
        </w:trPr>
        <w:tc>
          <w:tcPr>
            <w:tcW w:w="990" w:type="dxa"/>
            <w:tcBorders>
              <w:top w:val="nil"/>
              <w:left w:val="single" w:color="auto" w:sz="4" w:space="0"/>
              <w:bottom w:val="single" w:color="auto" w:sz="4" w:space="0"/>
              <w:right w:val="single" w:color="auto" w:sz="4" w:space="0"/>
            </w:tcBorders>
            <w:vAlign w:val="center"/>
          </w:tcPr>
          <w:p w14:paraId="1E082509">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验收小组成员签字</w:t>
            </w:r>
          </w:p>
        </w:tc>
        <w:tc>
          <w:tcPr>
            <w:tcW w:w="1972" w:type="dxa"/>
            <w:gridSpan w:val="3"/>
            <w:tcBorders>
              <w:top w:val="single" w:color="auto" w:sz="4" w:space="0"/>
              <w:left w:val="nil"/>
              <w:bottom w:val="single" w:color="auto" w:sz="4" w:space="0"/>
              <w:right w:val="single" w:color="000000" w:sz="4" w:space="0"/>
            </w:tcBorders>
            <w:vAlign w:val="center"/>
          </w:tcPr>
          <w:p w14:paraId="4C0851FA">
            <w:pPr>
              <w:widowControl/>
              <w:snapToGrid w:val="0"/>
              <w:jc w:val="center"/>
              <w:rPr>
                <w:rFonts w:ascii="宋体" w:hAnsi="宋体" w:cs="宋体"/>
                <w:color w:val="auto"/>
                <w:highlight w:val="none"/>
              </w:rPr>
            </w:pPr>
            <w:r>
              <w:rPr>
                <w:rFonts w:hint="eastAsia" w:ascii="宋体" w:hAnsi="宋体" w:cs="宋体"/>
                <w:color w:val="auto"/>
                <w:kern w:val="0"/>
                <w:sz w:val="22"/>
                <w:highlight w:val="none"/>
              </w:rPr>
              <w:t>　</w:t>
            </w:r>
          </w:p>
        </w:tc>
        <w:tc>
          <w:tcPr>
            <w:tcW w:w="2620" w:type="dxa"/>
            <w:gridSpan w:val="3"/>
            <w:tcBorders>
              <w:top w:val="single" w:color="auto" w:sz="4" w:space="0"/>
              <w:left w:val="nil"/>
              <w:bottom w:val="single" w:color="auto" w:sz="4" w:space="0"/>
              <w:right w:val="single" w:color="auto" w:sz="4" w:space="0"/>
            </w:tcBorders>
            <w:vAlign w:val="center"/>
          </w:tcPr>
          <w:p w14:paraId="06FD2424">
            <w:pPr>
              <w:widowControl/>
              <w:snapToGrid w:val="0"/>
              <w:rPr>
                <w:rFonts w:ascii="宋体" w:hAnsi="宋体" w:cs="宋体"/>
                <w:color w:val="auto"/>
                <w:highlight w:val="none"/>
              </w:rPr>
            </w:pPr>
            <w:r>
              <w:rPr>
                <w:rFonts w:hint="eastAsia" w:ascii="宋体" w:hAnsi="宋体" w:cs="宋体"/>
                <w:color w:val="auto"/>
                <w:kern w:val="0"/>
                <w:sz w:val="22"/>
                <w:highlight w:val="none"/>
              </w:rPr>
              <w:t>供应商（盖章）：</w:t>
            </w:r>
          </w:p>
        </w:tc>
        <w:tc>
          <w:tcPr>
            <w:tcW w:w="979" w:type="dxa"/>
            <w:tcBorders>
              <w:top w:val="single" w:color="auto" w:sz="4" w:space="0"/>
              <w:left w:val="single" w:color="auto" w:sz="4" w:space="0"/>
              <w:bottom w:val="single" w:color="auto" w:sz="4" w:space="0"/>
              <w:right w:val="single" w:color="auto" w:sz="4" w:space="0"/>
            </w:tcBorders>
            <w:vAlign w:val="center"/>
          </w:tcPr>
          <w:p w14:paraId="10F13A5F">
            <w:pPr>
              <w:widowControl/>
              <w:snapToGrid w:val="0"/>
              <w:rPr>
                <w:rFonts w:ascii="宋体" w:hAnsi="宋体" w:cs="宋体"/>
                <w:color w:val="auto"/>
                <w:highlight w:val="none"/>
              </w:rPr>
            </w:pPr>
            <w:r>
              <w:rPr>
                <w:rFonts w:hint="eastAsia" w:ascii="宋体" w:hAnsi="宋体" w:cs="宋体"/>
                <w:color w:val="auto"/>
                <w:kern w:val="0"/>
                <w:sz w:val="22"/>
                <w:highlight w:val="none"/>
              </w:rPr>
              <w:t>业务需求部门</w:t>
            </w:r>
          </w:p>
          <w:p w14:paraId="634C0F5C">
            <w:pPr>
              <w:widowControl/>
              <w:snapToGrid w:val="0"/>
              <w:rPr>
                <w:rFonts w:ascii="仿宋_GB2312" w:hAnsi="Tahoma" w:eastAsia="仿宋_GB2312"/>
                <w:color w:val="auto"/>
                <w:highlight w:val="none"/>
              </w:rPr>
            </w:pPr>
            <w:r>
              <w:rPr>
                <w:rFonts w:hint="eastAsia" w:ascii="宋体" w:hAnsi="宋体" w:cs="宋体"/>
                <w:color w:val="auto"/>
                <w:kern w:val="0"/>
                <w:sz w:val="22"/>
                <w:highlight w:val="none"/>
              </w:rPr>
              <w:t>签字（盖章）：</w:t>
            </w:r>
          </w:p>
        </w:tc>
        <w:tc>
          <w:tcPr>
            <w:tcW w:w="2501" w:type="dxa"/>
            <w:gridSpan w:val="2"/>
            <w:tcBorders>
              <w:top w:val="single" w:color="auto" w:sz="4" w:space="0"/>
              <w:left w:val="single" w:color="auto" w:sz="4" w:space="0"/>
              <w:bottom w:val="single" w:color="auto" w:sz="4" w:space="0"/>
              <w:right w:val="single" w:color="000000" w:sz="4" w:space="0"/>
            </w:tcBorders>
            <w:vAlign w:val="center"/>
          </w:tcPr>
          <w:p w14:paraId="64945404">
            <w:pPr>
              <w:widowControl/>
              <w:snapToGrid w:val="0"/>
              <w:jc w:val="center"/>
              <w:rPr>
                <w:rFonts w:ascii="仿宋_GB2312" w:hAnsi="Tahoma" w:eastAsia="仿宋_GB2312"/>
                <w:color w:val="auto"/>
                <w:highlight w:val="none"/>
              </w:rPr>
            </w:pPr>
          </w:p>
        </w:tc>
      </w:tr>
    </w:tbl>
    <w:p w14:paraId="15F0B30E">
      <w:pPr>
        <w:widowControl/>
        <w:adjustRightInd w:val="0"/>
        <w:snapToGrid w:val="0"/>
        <w:spacing w:after="200"/>
        <w:rPr>
          <w:rFonts w:ascii="宋体" w:hAnsi="宋体" w:cs="宋体"/>
          <w:color w:val="auto"/>
          <w:sz w:val="18"/>
          <w:szCs w:val="18"/>
          <w:highlight w:val="none"/>
          <w:lang w:bidi="ar"/>
        </w:rPr>
      </w:pPr>
      <w:r>
        <w:rPr>
          <w:rFonts w:hint="eastAsia" w:ascii="宋体" w:hAnsi="宋体" w:cs="宋体"/>
          <w:color w:val="auto"/>
          <w:kern w:val="0"/>
          <w:sz w:val="18"/>
          <w:szCs w:val="18"/>
          <w:highlight w:val="none"/>
          <w:lang w:bidi="ar"/>
        </w:rPr>
        <w:t>注 1：如验收涉及服务内容较多，可单独将验收内容列出，作为附表附在验收报告后</w:t>
      </w:r>
    </w:p>
    <w:p w14:paraId="64EFC35F">
      <w:pPr>
        <w:widowControl/>
        <w:adjustRightInd w:val="0"/>
        <w:snapToGrid w:val="0"/>
        <w:spacing w:after="200"/>
        <w:ind w:firstLine="180" w:firstLineChars="100"/>
        <w:rPr>
          <w:rFonts w:ascii="黑体" w:hAnsi="黑体" w:eastAsia="黑体" w:cs="黑体"/>
          <w:color w:val="auto"/>
          <w:sz w:val="32"/>
          <w:szCs w:val="32"/>
          <w:highlight w:val="none"/>
        </w:rPr>
        <w:sectPr>
          <w:footerReference r:id="rId8" w:type="first"/>
          <w:footerReference r:id="rId7" w:type="default"/>
          <w:pgSz w:w="11906" w:h="16838"/>
          <w:pgMar w:top="1134" w:right="1134" w:bottom="1134" w:left="1134" w:header="851" w:footer="992" w:gutter="0"/>
          <w:pgNumType w:fmt="numberInDash"/>
          <w:cols w:space="720" w:num="1"/>
          <w:titlePg/>
          <w:docGrid w:type="lines" w:linePitch="312" w:charSpace="0"/>
        </w:sectPr>
      </w:pPr>
      <w:r>
        <w:rPr>
          <w:rFonts w:hint="eastAsia" w:ascii="宋体" w:hAnsi="宋体" w:cs="宋体"/>
          <w:color w:val="auto"/>
          <w:kern w:val="0"/>
          <w:sz w:val="18"/>
          <w:szCs w:val="18"/>
          <w:highlight w:val="none"/>
          <w:lang w:bidi="ar"/>
        </w:rPr>
        <w:t xml:space="preserve"> 2：如经专家或质量检测机构验收，请附专家意见或检测报告</w:t>
      </w:r>
    </w:p>
    <w:p w14:paraId="5BD0BE05">
      <w:pPr>
        <w:pStyle w:val="4"/>
        <w:numPr>
          <w:ilvl w:val="0"/>
          <w:numId w:val="1"/>
        </w:numPr>
        <w:jc w:val="center"/>
        <w:rPr>
          <w:rStyle w:val="56"/>
          <w:rFonts w:hint="default"/>
          <w:b/>
          <w:color w:val="auto"/>
          <w:sz w:val="32"/>
          <w:szCs w:val="32"/>
          <w:highlight w:val="none"/>
        </w:rPr>
      </w:pPr>
      <w:bookmarkStart w:id="72" w:name="_Toc44229895"/>
      <w:bookmarkStart w:id="73" w:name="_Toc10131"/>
      <w:bookmarkStart w:id="74" w:name="_Toc32504"/>
      <w:r>
        <w:rPr>
          <w:rStyle w:val="56"/>
          <w:b/>
          <w:color w:val="auto"/>
          <w:sz w:val="32"/>
          <w:szCs w:val="32"/>
          <w:highlight w:val="none"/>
        </w:rPr>
        <w:t>采购需求</w:t>
      </w:r>
      <w:bookmarkEnd w:id="72"/>
      <w:bookmarkEnd w:id="73"/>
      <w:bookmarkEnd w:id="74"/>
    </w:p>
    <w:p w14:paraId="76964848">
      <w:pPr>
        <w:spacing w:line="440" w:lineRule="exact"/>
        <w:jc w:val="center"/>
        <w:rPr>
          <w:rFonts w:ascii="宋体" w:hAnsi="宋体" w:cs="宋体"/>
          <w:color w:val="auto"/>
          <w:szCs w:val="21"/>
          <w:highlight w:val="none"/>
        </w:rPr>
      </w:pPr>
      <w:r>
        <w:rPr>
          <w:rFonts w:hint="eastAsia" w:ascii="宋体" w:hAnsi="宋体"/>
          <w:b/>
          <w:color w:val="auto"/>
          <w:sz w:val="32"/>
          <w:szCs w:val="32"/>
          <w:highlight w:val="none"/>
        </w:rPr>
        <w:t>采购项目技术规格、参数及要求</w:t>
      </w:r>
    </w:p>
    <w:p w14:paraId="6A12DF5D">
      <w:pPr>
        <w:tabs>
          <w:tab w:val="left" w:pos="180"/>
          <w:tab w:val="left" w:pos="162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说明：</w:t>
      </w:r>
    </w:p>
    <w:p w14:paraId="22044147">
      <w:pPr>
        <w:tabs>
          <w:tab w:val="left" w:pos="180"/>
          <w:tab w:val="left" w:pos="162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 为落实政府采购政策需满足的要求</w:t>
      </w:r>
    </w:p>
    <w:p w14:paraId="700E3712">
      <w:pPr>
        <w:tabs>
          <w:tab w:val="left" w:pos="180"/>
          <w:tab w:val="left" w:pos="162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（1）本竞争性磋商采购文件所称中小企业必须符合《政府采购促进中小企业发展管理办法》（财库〔2020〕46号）的规定。</w:t>
      </w:r>
    </w:p>
    <w:p w14:paraId="5E734ED0">
      <w:pPr>
        <w:tabs>
          <w:tab w:val="left" w:pos="180"/>
          <w:tab w:val="left" w:pos="162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（2）服务项目中伴随货物的，根据《财政部 发展改革委 生态环境部 市场监管总局关于调整优化节能产品、环境标志产品政府采购执行机制的通知》（财库〔2019〕9号）和《关于印发节能产品政府采购品目清单的通知》（财库〔2019〕19号）的规定，如采购需求中的产品属于节能产品政府采购品目清单内标注“★”的，供应商必须在响应文件中提供所竞标产品的节能产品认证证书复印件（加盖供应商公章），否则响应文件作无效处理。如本项目包含的配套货物属于品目清单内非标注“★”的产品时，应优先采购，具体详见“第四章 评审程序和评定成交的标准”。</w:t>
      </w:r>
    </w:p>
    <w:p w14:paraId="1F1263DD">
      <w:pPr>
        <w:tabs>
          <w:tab w:val="left" w:pos="180"/>
          <w:tab w:val="left" w:pos="162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2.“实质性要求”是指采购需求中带“▲”的条款或者不能负偏离的条款或者已经指明不满足按响应文件作无效处理的条款。</w:t>
      </w:r>
    </w:p>
    <w:p w14:paraId="517CE176">
      <w:pPr>
        <w:tabs>
          <w:tab w:val="left" w:pos="180"/>
          <w:tab w:val="left" w:pos="162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3.供应商应根据自身实际情况如实响应竞争性磋商文件，不得仅将竞争性磋商文件内容简单复制粘贴作为竞标响应，还应当按照竞争性磋商文件中规定提供相关证明材料，否则将作无效响应处理。</w:t>
      </w:r>
    </w:p>
    <w:p w14:paraId="552ADBD4">
      <w:pPr>
        <w:tabs>
          <w:tab w:val="left" w:pos="180"/>
          <w:tab w:val="left" w:pos="162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4.供应商必须自行为其服务成果侵犯他人的知识产权或者专利成果的行为承担相应法律责任。</w:t>
      </w:r>
    </w:p>
    <w:p w14:paraId="7A3F5078">
      <w:pPr>
        <w:tabs>
          <w:tab w:val="left" w:pos="180"/>
          <w:tab w:val="left" w:pos="1620"/>
        </w:tabs>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5.本项目标的按中小企业划分标准所属行业：</w:t>
      </w:r>
      <w:r>
        <w:rPr>
          <w:rFonts w:hint="eastAsia" w:ascii="宋体" w:hAnsi="宋体" w:cs="宋体"/>
          <w:b/>
          <w:bCs/>
          <w:color w:val="auto"/>
          <w:szCs w:val="21"/>
          <w:highlight w:val="none"/>
          <w:u w:val="single"/>
        </w:rPr>
        <w:t>其他未列明行业</w:t>
      </w:r>
      <w:r>
        <w:rPr>
          <w:rFonts w:hint="eastAsia" w:ascii="宋体" w:hAnsi="宋体" w:cs="宋体"/>
          <w:color w:val="auto"/>
          <w:szCs w:val="21"/>
          <w:highlight w:val="none"/>
        </w:rPr>
        <w:t>。</w:t>
      </w:r>
    </w:p>
    <w:tbl>
      <w:tblPr>
        <w:tblStyle w:val="31"/>
        <w:tblW w:w="9606" w:type="dxa"/>
        <w:jc w:val="center"/>
        <w:tblLayout w:type="fixed"/>
        <w:tblCellMar>
          <w:top w:w="0" w:type="dxa"/>
          <w:left w:w="0" w:type="dxa"/>
          <w:bottom w:w="0" w:type="dxa"/>
          <w:right w:w="0" w:type="dxa"/>
        </w:tblCellMar>
      </w:tblPr>
      <w:tblGrid>
        <w:gridCol w:w="608"/>
        <w:gridCol w:w="1267"/>
        <w:gridCol w:w="23"/>
        <w:gridCol w:w="709"/>
        <w:gridCol w:w="555"/>
        <w:gridCol w:w="6444"/>
      </w:tblGrid>
      <w:tr w14:paraId="1C746006">
        <w:tblPrEx>
          <w:tblCellMar>
            <w:top w:w="0" w:type="dxa"/>
            <w:left w:w="0" w:type="dxa"/>
            <w:bottom w:w="0" w:type="dxa"/>
            <w:right w:w="0" w:type="dxa"/>
          </w:tblCellMar>
        </w:tblPrEx>
        <w:trPr>
          <w:trHeight w:val="264" w:hRule="atLeast"/>
          <w:jc w:val="center"/>
        </w:trPr>
        <w:tc>
          <w:tcPr>
            <w:tcW w:w="9606" w:type="dxa"/>
            <w:gridSpan w:val="6"/>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14:paraId="2C4F5B2C">
            <w:pPr>
              <w:keepNext w:val="0"/>
              <w:keepLines w:val="0"/>
              <w:pageBreakBefore w:val="0"/>
              <w:numPr>
                <w:ilvl w:val="0"/>
                <w:numId w:val="0"/>
              </w:numPr>
              <w:kinsoku/>
              <w:wordWrap/>
              <w:overflowPunct/>
              <w:topLinePunct w:val="0"/>
              <w:autoSpaceDE/>
              <w:autoSpaceDN/>
              <w:bidi w:val="0"/>
              <w:adjustRightInd/>
              <w:spacing w:afterAutospacing="0" w:line="360" w:lineRule="auto"/>
              <w:jc w:val="left"/>
              <w:textAlignment w:val="auto"/>
              <w:rPr>
                <w:rFonts w:ascii="宋体" w:hAnsi="宋体" w:cs="宋体"/>
                <w:b/>
                <w:color w:val="auto"/>
                <w:szCs w:val="21"/>
                <w:highlight w:val="none"/>
              </w:rPr>
            </w:pPr>
            <w:r>
              <w:rPr>
                <w:rFonts w:hint="eastAsia" w:ascii="宋体" w:hAnsi="宋体" w:cs="宋体"/>
                <w:color w:val="auto"/>
                <w:szCs w:val="21"/>
                <w:highlight w:val="none"/>
              </w:rPr>
              <w:t>▲</w:t>
            </w:r>
            <w:r>
              <w:rPr>
                <w:rFonts w:hint="eastAsia" w:ascii="宋体" w:hAnsi="宋体" w:eastAsia="宋体" w:cs="宋体"/>
                <w:b/>
                <w:color w:val="auto"/>
                <w:kern w:val="2"/>
                <w:sz w:val="21"/>
                <w:szCs w:val="21"/>
                <w:highlight w:val="none"/>
                <w:lang w:val="en-US" w:eastAsia="zh-CN" w:bidi="ar-SA"/>
              </w:rPr>
              <w:t>一、</w:t>
            </w:r>
            <w:r>
              <w:rPr>
                <w:rFonts w:hint="eastAsia" w:ascii="宋体" w:hAnsi="宋体" w:cs="宋体"/>
                <w:b/>
                <w:color w:val="auto"/>
                <w:szCs w:val="21"/>
                <w:highlight w:val="none"/>
              </w:rPr>
              <w:t>项目要求及服务要求</w:t>
            </w:r>
          </w:p>
        </w:tc>
      </w:tr>
      <w:tr w14:paraId="0677A637">
        <w:tblPrEx>
          <w:tblCellMar>
            <w:top w:w="0" w:type="dxa"/>
            <w:left w:w="0" w:type="dxa"/>
            <w:bottom w:w="0" w:type="dxa"/>
            <w:right w:w="0" w:type="dxa"/>
          </w:tblCellMar>
        </w:tblPrEx>
        <w:trPr>
          <w:jc w:val="center"/>
        </w:trPr>
        <w:tc>
          <w:tcPr>
            <w:tcW w:w="608"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14:paraId="66CF4A83">
            <w:pPr>
              <w:keepNext w:val="0"/>
              <w:keepLines w:val="0"/>
              <w:pageBreakBefore w:val="0"/>
              <w:kinsoku/>
              <w:wordWrap/>
              <w:overflowPunct/>
              <w:topLinePunct w:val="0"/>
              <w:autoSpaceDE/>
              <w:autoSpaceDN/>
              <w:bidi w:val="0"/>
              <w:adjustRightInd/>
              <w:spacing w:afterAutospacing="0" w:line="360" w:lineRule="auto"/>
              <w:ind w:left="0" w:leftChars="0"/>
              <w:jc w:val="center"/>
              <w:textAlignment w:val="auto"/>
              <w:rPr>
                <w:rFonts w:ascii="宋体" w:hAnsi="宋体" w:cs="宋体"/>
                <w:b/>
                <w:color w:val="auto"/>
                <w:szCs w:val="21"/>
                <w:highlight w:val="none"/>
              </w:rPr>
            </w:pPr>
            <w:r>
              <w:rPr>
                <w:rFonts w:hint="eastAsia" w:ascii="宋体" w:hAnsi="宋体" w:cs="宋体"/>
                <w:b/>
                <w:color w:val="auto"/>
                <w:szCs w:val="21"/>
                <w:highlight w:val="none"/>
              </w:rPr>
              <w:t>序号</w:t>
            </w:r>
          </w:p>
        </w:tc>
        <w:tc>
          <w:tcPr>
            <w:tcW w:w="1290" w:type="dxa"/>
            <w:gridSpan w:val="2"/>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14:paraId="47EB9DA3">
            <w:pPr>
              <w:keepNext w:val="0"/>
              <w:keepLines w:val="0"/>
              <w:pageBreakBefore w:val="0"/>
              <w:kinsoku/>
              <w:wordWrap/>
              <w:overflowPunct/>
              <w:topLinePunct w:val="0"/>
              <w:autoSpaceDE/>
              <w:autoSpaceDN/>
              <w:bidi w:val="0"/>
              <w:adjustRightInd/>
              <w:spacing w:afterAutospacing="0" w:line="360" w:lineRule="auto"/>
              <w:ind w:left="0" w:leftChars="0"/>
              <w:jc w:val="center"/>
              <w:textAlignment w:val="auto"/>
              <w:rPr>
                <w:rFonts w:ascii="宋体" w:hAnsi="宋体" w:cs="宋体"/>
                <w:b/>
                <w:color w:val="auto"/>
                <w:szCs w:val="21"/>
                <w:highlight w:val="none"/>
              </w:rPr>
            </w:pPr>
            <w:r>
              <w:rPr>
                <w:rFonts w:ascii="宋体" w:hAnsi="宋体" w:cs="宋体"/>
                <w:b/>
                <w:color w:val="auto"/>
                <w:szCs w:val="21"/>
                <w:highlight w:val="none"/>
              </w:rPr>
              <w:t>标的名称</w:t>
            </w:r>
          </w:p>
        </w:tc>
        <w:tc>
          <w:tcPr>
            <w:tcW w:w="709"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14:paraId="38C40E7C">
            <w:pPr>
              <w:keepNext w:val="0"/>
              <w:keepLines w:val="0"/>
              <w:pageBreakBefore w:val="0"/>
              <w:kinsoku/>
              <w:wordWrap/>
              <w:overflowPunct/>
              <w:topLinePunct w:val="0"/>
              <w:autoSpaceDE/>
              <w:autoSpaceDN/>
              <w:bidi w:val="0"/>
              <w:adjustRightInd/>
              <w:spacing w:afterAutospacing="0" w:line="360" w:lineRule="auto"/>
              <w:ind w:left="0" w:leftChars="0"/>
              <w:jc w:val="center"/>
              <w:textAlignment w:val="auto"/>
              <w:rPr>
                <w:rFonts w:ascii="宋体" w:hAnsi="宋体" w:cs="宋体"/>
                <w:b/>
                <w:color w:val="auto"/>
                <w:szCs w:val="21"/>
                <w:highlight w:val="none"/>
              </w:rPr>
            </w:pPr>
            <w:r>
              <w:rPr>
                <w:rFonts w:hint="eastAsia" w:ascii="宋体" w:hAnsi="宋体" w:cs="宋体"/>
                <w:b/>
                <w:color w:val="auto"/>
                <w:szCs w:val="21"/>
                <w:highlight w:val="none"/>
              </w:rPr>
              <w:t>计量单位</w:t>
            </w:r>
          </w:p>
        </w:tc>
        <w:tc>
          <w:tcPr>
            <w:tcW w:w="55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14:paraId="4028AB83">
            <w:pPr>
              <w:keepNext w:val="0"/>
              <w:keepLines w:val="0"/>
              <w:pageBreakBefore w:val="0"/>
              <w:kinsoku/>
              <w:wordWrap/>
              <w:overflowPunct/>
              <w:topLinePunct w:val="0"/>
              <w:autoSpaceDE/>
              <w:autoSpaceDN/>
              <w:bidi w:val="0"/>
              <w:adjustRightInd/>
              <w:spacing w:afterAutospacing="0" w:line="360" w:lineRule="auto"/>
              <w:ind w:left="0" w:leftChars="0"/>
              <w:jc w:val="center"/>
              <w:textAlignment w:val="auto"/>
              <w:rPr>
                <w:rFonts w:ascii="宋体" w:hAnsi="宋体" w:cs="宋体"/>
                <w:b/>
                <w:color w:val="auto"/>
                <w:szCs w:val="21"/>
                <w:highlight w:val="none"/>
              </w:rPr>
            </w:pPr>
            <w:r>
              <w:rPr>
                <w:rFonts w:hint="eastAsia" w:ascii="宋体" w:hAnsi="宋体" w:cs="宋体"/>
                <w:b/>
                <w:color w:val="auto"/>
                <w:szCs w:val="21"/>
                <w:highlight w:val="none"/>
              </w:rPr>
              <w:t>数量</w:t>
            </w:r>
          </w:p>
        </w:tc>
        <w:tc>
          <w:tcPr>
            <w:tcW w:w="6444"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14:paraId="624E6420">
            <w:pPr>
              <w:keepNext w:val="0"/>
              <w:keepLines w:val="0"/>
              <w:pageBreakBefore w:val="0"/>
              <w:kinsoku/>
              <w:wordWrap/>
              <w:overflowPunct/>
              <w:topLinePunct w:val="0"/>
              <w:autoSpaceDE/>
              <w:autoSpaceDN/>
              <w:bidi w:val="0"/>
              <w:adjustRightInd/>
              <w:spacing w:afterAutospacing="0" w:line="360" w:lineRule="auto"/>
              <w:ind w:left="0" w:leftChars="0" w:firstLine="482"/>
              <w:jc w:val="center"/>
              <w:textAlignment w:val="auto"/>
              <w:rPr>
                <w:rFonts w:ascii="宋体" w:hAnsi="宋体" w:cs="宋体"/>
                <w:b/>
                <w:color w:val="auto"/>
                <w:szCs w:val="21"/>
                <w:highlight w:val="none"/>
              </w:rPr>
            </w:pPr>
            <w:r>
              <w:rPr>
                <w:rFonts w:hint="eastAsia" w:ascii="宋体" w:hAnsi="宋体"/>
                <w:b/>
                <w:bCs/>
                <w:color w:val="auto"/>
                <w:szCs w:val="21"/>
                <w:highlight w:val="none"/>
              </w:rPr>
              <w:t>服务要求</w:t>
            </w:r>
          </w:p>
        </w:tc>
      </w:tr>
      <w:tr w14:paraId="1D2BD15E">
        <w:tblPrEx>
          <w:tblCellMar>
            <w:top w:w="0" w:type="dxa"/>
            <w:left w:w="0" w:type="dxa"/>
            <w:bottom w:w="0" w:type="dxa"/>
            <w:right w:w="0" w:type="dxa"/>
          </w:tblCellMar>
        </w:tblPrEx>
        <w:trPr>
          <w:trHeight w:val="90" w:hRule="atLeast"/>
          <w:jc w:val="center"/>
        </w:trPr>
        <w:tc>
          <w:tcPr>
            <w:tcW w:w="608"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14:paraId="193A3A39">
            <w:pPr>
              <w:keepNext w:val="0"/>
              <w:keepLines w:val="0"/>
              <w:pageBreakBefore w:val="0"/>
              <w:kinsoku/>
              <w:wordWrap/>
              <w:overflowPunct/>
              <w:topLinePunct w:val="0"/>
              <w:autoSpaceDE/>
              <w:autoSpaceDN/>
              <w:bidi w:val="0"/>
              <w:adjustRightInd/>
              <w:spacing w:afterAutospacing="0" w:line="360" w:lineRule="auto"/>
              <w:ind w:left="0" w:leftChars="0"/>
              <w:jc w:val="center"/>
              <w:textAlignment w:val="auto"/>
              <w:rPr>
                <w:rFonts w:ascii="宋体" w:hAnsi="宋体" w:cs="宋体"/>
                <w:b/>
                <w:bCs/>
                <w:color w:val="auto"/>
                <w:szCs w:val="21"/>
                <w:highlight w:val="none"/>
              </w:rPr>
            </w:pPr>
            <w:r>
              <w:rPr>
                <w:rFonts w:hint="eastAsia" w:ascii="宋体" w:hAnsi="宋体" w:cs="宋体"/>
                <w:b/>
                <w:bCs/>
                <w:color w:val="auto"/>
                <w:szCs w:val="21"/>
                <w:highlight w:val="none"/>
              </w:rPr>
              <w:t>1</w:t>
            </w:r>
          </w:p>
        </w:tc>
        <w:tc>
          <w:tcPr>
            <w:tcW w:w="1290" w:type="dxa"/>
            <w:gridSpan w:val="2"/>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14:paraId="47D1AAC6">
            <w:pPr>
              <w:keepNext w:val="0"/>
              <w:keepLines w:val="0"/>
              <w:pageBreakBefore w:val="0"/>
              <w:kinsoku/>
              <w:wordWrap/>
              <w:overflowPunct/>
              <w:topLinePunct w:val="0"/>
              <w:autoSpaceDE/>
              <w:autoSpaceDN/>
              <w:bidi w:val="0"/>
              <w:adjustRightInd/>
              <w:spacing w:afterAutospacing="0" w:line="360" w:lineRule="auto"/>
              <w:ind w:left="0" w:leftChars="0"/>
              <w:jc w:val="center"/>
              <w:textAlignment w:val="auto"/>
              <w:rPr>
                <w:rFonts w:ascii="宋体" w:hAnsi="宋体" w:cs="宋体"/>
                <w:color w:val="auto"/>
                <w:szCs w:val="21"/>
                <w:highlight w:val="none"/>
              </w:rPr>
            </w:pPr>
            <w:r>
              <w:rPr>
                <w:rFonts w:hint="eastAsia" w:ascii="宋体" w:hAnsi="宋体"/>
                <w:color w:val="auto"/>
                <w:szCs w:val="21"/>
                <w:highlight w:val="none"/>
                <w:lang w:eastAsia="zh-CN"/>
              </w:rPr>
              <w:t>中华人民共和国广西出入境边防检查总站2025年常规性项目委托审计服务</w:t>
            </w:r>
          </w:p>
        </w:tc>
        <w:tc>
          <w:tcPr>
            <w:tcW w:w="709"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14:paraId="5A43DC38">
            <w:pPr>
              <w:keepNext w:val="0"/>
              <w:keepLines w:val="0"/>
              <w:pageBreakBefore w:val="0"/>
              <w:kinsoku/>
              <w:wordWrap/>
              <w:overflowPunct/>
              <w:topLinePunct w:val="0"/>
              <w:autoSpaceDE/>
              <w:autoSpaceDN/>
              <w:bidi w:val="0"/>
              <w:adjustRightInd/>
              <w:spacing w:afterAutospacing="0" w:line="360" w:lineRule="auto"/>
              <w:ind w:left="0" w:leftChars="0"/>
              <w:jc w:val="center"/>
              <w:textAlignment w:val="auto"/>
              <w:rPr>
                <w:rFonts w:ascii="宋体" w:hAnsi="宋体" w:cs="黑体"/>
                <w:color w:val="auto"/>
                <w:highlight w:val="none"/>
              </w:rPr>
            </w:pPr>
            <w:r>
              <w:rPr>
                <w:rFonts w:hint="eastAsia" w:ascii="宋体" w:hAnsi="宋体" w:cs="黑体"/>
                <w:color w:val="auto"/>
                <w:highlight w:val="none"/>
              </w:rPr>
              <w:t>项</w:t>
            </w:r>
          </w:p>
        </w:tc>
        <w:tc>
          <w:tcPr>
            <w:tcW w:w="55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14:paraId="73846D7F">
            <w:pPr>
              <w:keepNext w:val="0"/>
              <w:keepLines w:val="0"/>
              <w:pageBreakBefore w:val="0"/>
              <w:kinsoku/>
              <w:wordWrap/>
              <w:overflowPunct/>
              <w:topLinePunct w:val="0"/>
              <w:autoSpaceDE/>
              <w:autoSpaceDN/>
              <w:bidi w:val="0"/>
              <w:adjustRightInd/>
              <w:spacing w:afterAutospacing="0" w:line="360" w:lineRule="auto"/>
              <w:ind w:left="0" w:leftChars="0"/>
              <w:jc w:val="center"/>
              <w:textAlignment w:val="auto"/>
              <w:rPr>
                <w:rFonts w:ascii="宋体" w:hAnsi="宋体" w:cs="黑体"/>
                <w:color w:val="auto"/>
                <w:highlight w:val="none"/>
              </w:rPr>
            </w:pPr>
            <w:r>
              <w:rPr>
                <w:rFonts w:hint="eastAsia" w:ascii="宋体" w:hAnsi="宋体" w:cs="黑体"/>
                <w:color w:val="auto"/>
                <w:highlight w:val="none"/>
              </w:rPr>
              <w:t>1</w:t>
            </w:r>
          </w:p>
        </w:tc>
        <w:tc>
          <w:tcPr>
            <w:tcW w:w="6444"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14:paraId="47FD47F2">
            <w:pPr>
              <w:keepNext w:val="0"/>
              <w:keepLines w:val="0"/>
              <w:pageBreakBefore w:val="0"/>
              <w:kinsoku/>
              <w:wordWrap/>
              <w:overflowPunct/>
              <w:topLinePunct w:val="0"/>
              <w:autoSpaceDE/>
              <w:autoSpaceDN/>
              <w:bidi w:val="0"/>
              <w:adjustRightInd/>
              <w:spacing w:afterAutospacing="0" w:line="360" w:lineRule="auto"/>
              <w:ind w:left="0" w:leftChars="0" w:firstLine="422" w:firstLineChars="200"/>
              <w:textAlignment w:val="auto"/>
              <w:rPr>
                <w:rFonts w:hint="default"/>
                <w:color w:val="auto"/>
                <w:highlight w:val="none"/>
              </w:rPr>
            </w:pPr>
            <w:r>
              <w:rPr>
                <w:rFonts w:hint="default"/>
                <w:b/>
                <w:bCs/>
                <w:color w:val="auto"/>
                <w:highlight w:val="none"/>
                <w:lang w:eastAsia="zh-CN"/>
              </w:rPr>
              <w:t>一、采购事项：</w:t>
            </w:r>
            <w:r>
              <w:rPr>
                <w:rFonts w:hint="default"/>
                <w:b/>
                <w:bCs/>
                <w:color w:val="auto"/>
                <w:highlight w:val="none"/>
              </w:rPr>
              <w:t>对</w:t>
            </w:r>
            <w:r>
              <w:rPr>
                <w:rFonts w:hint="default"/>
                <w:b/>
                <w:bCs/>
                <w:color w:val="auto"/>
                <w:highlight w:val="none"/>
                <w:lang w:eastAsia="zh-CN"/>
              </w:rPr>
              <w:t>领导干部经济责任审计</w:t>
            </w:r>
            <w:r>
              <w:rPr>
                <w:rFonts w:hint="default"/>
                <w:b/>
                <w:bCs/>
                <w:color w:val="auto"/>
                <w:highlight w:val="none"/>
              </w:rPr>
              <w:t>等常规项目审计的协审服务采购</w:t>
            </w:r>
          </w:p>
          <w:p w14:paraId="3080401F">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b w:val="0"/>
                <w:bCs w:val="0"/>
                <w:color w:val="auto"/>
                <w:highlight w:val="none"/>
                <w:lang w:eastAsia="zh-CN"/>
              </w:rPr>
            </w:pPr>
            <w:r>
              <w:rPr>
                <w:rFonts w:hint="default"/>
                <w:b w:val="0"/>
                <w:bCs w:val="0"/>
                <w:color w:val="auto"/>
                <w:highlight w:val="none"/>
              </w:rPr>
              <w:t>（一）委托事项（服务内容）</w:t>
            </w:r>
            <w:r>
              <w:rPr>
                <w:rFonts w:hint="eastAsia"/>
                <w:b w:val="0"/>
                <w:bCs w:val="0"/>
                <w:color w:val="auto"/>
                <w:highlight w:val="none"/>
                <w:lang w:eastAsia="zh-CN"/>
              </w:rPr>
              <w:t>：</w:t>
            </w:r>
            <w:r>
              <w:rPr>
                <w:rFonts w:hint="default"/>
                <w:color w:val="auto"/>
                <w:highlight w:val="none"/>
              </w:rPr>
              <w:t>根据广西出入境边防检查总站的项目安排，供应商为2025年和2026年协助广西出入境边防检查总站审计工作组对所属19个站级单位开展的领导干部经济责任等常规项目审计活动提供专业会计审查服务和审计咨询服务</w:t>
            </w:r>
            <w:r>
              <w:rPr>
                <w:rFonts w:hint="default"/>
                <w:b w:val="0"/>
                <w:bCs w:val="0"/>
                <w:color w:val="auto"/>
                <w:highlight w:val="none"/>
              </w:rPr>
              <w:t>。</w:t>
            </w:r>
          </w:p>
          <w:p w14:paraId="1730205E">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b w:val="0"/>
                <w:bCs w:val="0"/>
                <w:color w:val="auto"/>
                <w:highlight w:val="none"/>
                <w:lang w:eastAsia="zh-CN"/>
              </w:rPr>
            </w:pPr>
            <w:r>
              <w:rPr>
                <w:rFonts w:hint="default"/>
                <w:color w:val="auto"/>
                <w:highlight w:val="none"/>
              </w:rPr>
              <w:t>（二）阶段安排：分两年完成19个出入境边防检查站、边境管理支队等站级单位审计的协审服务；暂定安排：2025年度开展9个站级单位，2026年度开展10个站级单位。</w:t>
            </w:r>
          </w:p>
          <w:p w14:paraId="283170CB">
            <w:pPr>
              <w:keepNext w:val="0"/>
              <w:keepLines w:val="0"/>
              <w:pageBreakBefore w:val="0"/>
              <w:kinsoku/>
              <w:wordWrap/>
              <w:overflowPunct/>
              <w:topLinePunct w:val="0"/>
              <w:autoSpaceDE/>
              <w:autoSpaceDN/>
              <w:bidi w:val="0"/>
              <w:adjustRightInd/>
              <w:spacing w:afterAutospacing="0" w:line="360" w:lineRule="auto"/>
              <w:ind w:left="0" w:leftChars="0" w:firstLine="422" w:firstLineChars="200"/>
              <w:textAlignment w:val="auto"/>
              <w:rPr>
                <w:rFonts w:hint="default"/>
                <w:color w:val="auto"/>
                <w:highlight w:val="none"/>
              </w:rPr>
            </w:pPr>
            <w:r>
              <w:rPr>
                <w:rFonts w:hint="default"/>
                <w:b/>
                <w:bCs/>
                <w:color w:val="auto"/>
                <w:highlight w:val="none"/>
              </w:rPr>
              <w:t>（三）服务要求</w:t>
            </w:r>
            <w:r>
              <w:rPr>
                <w:rFonts w:hint="eastAsia"/>
                <w:b/>
                <w:bCs/>
                <w:color w:val="auto"/>
                <w:highlight w:val="none"/>
                <w:lang w:eastAsia="zh-CN"/>
              </w:rPr>
              <w:t>：</w:t>
            </w:r>
          </w:p>
          <w:p w14:paraId="17DAE03F">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color w:val="auto"/>
                <w:highlight w:val="none"/>
                <w:lang w:eastAsia="zh-CN"/>
              </w:rPr>
            </w:pPr>
            <w:r>
              <w:rPr>
                <w:rFonts w:hint="eastAsia"/>
                <w:color w:val="auto"/>
                <w:highlight w:val="none"/>
                <w:lang w:val="en-US" w:eastAsia="zh-CN"/>
              </w:rPr>
              <w:t>1.采购人共</w:t>
            </w:r>
            <w:r>
              <w:rPr>
                <w:rFonts w:hint="default"/>
                <w:color w:val="auto"/>
                <w:highlight w:val="none"/>
                <w:lang w:val="en-US" w:eastAsia="zh-CN"/>
              </w:rPr>
              <w:t>派出2个审计工作组，</w:t>
            </w:r>
            <w:r>
              <w:rPr>
                <w:rFonts w:hint="default"/>
                <w:b/>
                <w:bCs/>
                <w:color w:val="auto"/>
                <w:highlight w:val="none"/>
                <w:lang w:eastAsia="zh-CN"/>
              </w:rPr>
              <w:t>供应商</w:t>
            </w:r>
            <w:r>
              <w:rPr>
                <w:rFonts w:hint="eastAsia"/>
                <w:b/>
                <w:bCs/>
                <w:color w:val="auto"/>
                <w:highlight w:val="none"/>
                <w:lang w:eastAsia="zh-CN"/>
              </w:rPr>
              <w:t>应派出</w:t>
            </w:r>
            <w:r>
              <w:rPr>
                <w:rFonts w:hint="eastAsia"/>
                <w:b/>
                <w:bCs/>
                <w:color w:val="auto"/>
                <w:highlight w:val="none"/>
                <w:lang w:val="en-US" w:eastAsia="zh-CN"/>
              </w:rPr>
              <w:t>2组共</w:t>
            </w:r>
            <w:r>
              <w:rPr>
                <w:rFonts w:hint="default"/>
                <w:b/>
                <w:bCs/>
                <w:color w:val="auto"/>
                <w:highlight w:val="none"/>
                <w:lang w:val="en-US" w:eastAsia="zh-CN"/>
              </w:rPr>
              <w:t>10</w:t>
            </w:r>
            <w:r>
              <w:rPr>
                <w:rFonts w:hint="eastAsia"/>
                <w:b/>
                <w:bCs/>
                <w:color w:val="auto"/>
                <w:highlight w:val="none"/>
                <w:lang w:val="en-US" w:eastAsia="zh-CN"/>
              </w:rPr>
              <w:t>名协审</w:t>
            </w:r>
            <w:r>
              <w:rPr>
                <w:rFonts w:hint="default"/>
                <w:b/>
                <w:bCs/>
                <w:color w:val="auto"/>
                <w:highlight w:val="none"/>
                <w:lang w:val="en-US" w:eastAsia="zh-CN"/>
              </w:rPr>
              <w:t>人员</w:t>
            </w:r>
            <w:r>
              <w:rPr>
                <w:rFonts w:hint="eastAsia"/>
                <w:b/>
                <w:bCs/>
                <w:color w:val="auto"/>
                <w:highlight w:val="none"/>
                <w:lang w:val="en-US" w:eastAsia="zh-CN"/>
              </w:rPr>
              <w:t>（本次协审工作仅需响应10名协审人员），每组5人协助</w:t>
            </w:r>
            <w:r>
              <w:rPr>
                <w:rFonts w:hint="eastAsia"/>
                <w:b/>
                <w:bCs/>
                <w:color w:val="auto"/>
                <w:highlight w:val="none"/>
              </w:rPr>
              <w:t>审计工作组开展专业会计审查服务。每组人员要求：1名注册会计师（或审计、会计等高级职称）、3名审计或会计专业中级及以上职称人员、1</w:t>
            </w:r>
            <w:r>
              <w:rPr>
                <w:rFonts w:hint="eastAsia"/>
                <w:b/>
                <w:bCs/>
                <w:color w:val="auto"/>
                <w:highlight w:val="none"/>
                <w:lang w:eastAsia="zh-CN"/>
              </w:rPr>
              <w:t>名</w:t>
            </w:r>
            <w:r>
              <w:rPr>
                <w:rFonts w:hint="default"/>
                <w:b/>
                <w:bCs/>
                <w:color w:val="auto"/>
                <w:highlight w:val="none"/>
                <w:u w:val="single"/>
                <w:lang w:val="en-US" w:eastAsia="zh-CN"/>
              </w:rPr>
              <w:t>具有政府采购</w:t>
            </w:r>
            <w:r>
              <w:rPr>
                <w:rFonts w:hint="eastAsia"/>
                <w:b/>
                <w:bCs/>
                <w:color w:val="auto"/>
                <w:highlight w:val="none"/>
                <w:u w:val="single"/>
                <w:lang w:val="en-US" w:eastAsia="zh-CN"/>
              </w:rPr>
              <w:t>、招标投标专业知识、</w:t>
            </w:r>
            <w:r>
              <w:rPr>
                <w:rFonts w:hint="default"/>
                <w:b/>
                <w:bCs/>
                <w:color w:val="auto"/>
                <w:highlight w:val="none"/>
                <w:u w:val="single"/>
                <w:lang w:val="en-US" w:eastAsia="zh-CN"/>
              </w:rPr>
              <w:t>工程</w:t>
            </w:r>
            <w:r>
              <w:rPr>
                <w:rFonts w:hint="eastAsia"/>
                <w:b/>
                <w:bCs/>
                <w:color w:val="auto"/>
                <w:highlight w:val="none"/>
                <w:u w:val="single"/>
                <w:lang w:val="en-US" w:eastAsia="zh-CN"/>
              </w:rPr>
              <w:t>造价或工程招投标审核等类似</w:t>
            </w:r>
            <w:r>
              <w:rPr>
                <w:rFonts w:hint="default"/>
                <w:b/>
                <w:bCs/>
                <w:color w:val="auto"/>
                <w:highlight w:val="none"/>
                <w:u w:val="single"/>
              </w:rPr>
              <w:t>审计</w:t>
            </w:r>
            <w:r>
              <w:rPr>
                <w:rFonts w:hint="default"/>
                <w:b/>
                <w:bCs/>
                <w:color w:val="auto"/>
                <w:highlight w:val="none"/>
                <w:u w:val="single"/>
                <w:lang w:eastAsia="zh-CN"/>
              </w:rPr>
              <w:t>能力</w:t>
            </w:r>
            <w:r>
              <w:rPr>
                <w:rFonts w:hint="eastAsia"/>
                <w:b/>
                <w:bCs/>
                <w:color w:val="auto"/>
                <w:highlight w:val="none"/>
                <w:lang w:val="en-US" w:eastAsia="zh-CN"/>
              </w:rPr>
              <w:t>的专业</w:t>
            </w:r>
            <w:r>
              <w:rPr>
                <w:rFonts w:hint="default"/>
                <w:b/>
                <w:bCs/>
                <w:color w:val="auto"/>
                <w:highlight w:val="none"/>
                <w:lang w:eastAsia="zh-CN"/>
              </w:rPr>
              <w:t>人员</w:t>
            </w:r>
            <w:r>
              <w:rPr>
                <w:rFonts w:hint="eastAsia"/>
                <w:b/>
                <w:bCs/>
                <w:color w:val="auto"/>
                <w:highlight w:val="none"/>
              </w:rPr>
              <w:t>；每个站级单位现场审查工作约5~10天（具体由采购人根据单位实际情况进行人员调配和天数调整；考虑到工作保密性，</w:t>
            </w:r>
            <w:r>
              <w:rPr>
                <w:rFonts w:hint="eastAsia"/>
                <w:b/>
                <w:bCs/>
                <w:color w:val="auto"/>
                <w:highlight w:val="none"/>
                <w:lang w:eastAsia="zh-CN"/>
              </w:rPr>
              <w:t>约</w:t>
            </w:r>
            <w:r>
              <w:rPr>
                <w:rFonts w:hint="eastAsia"/>
                <w:b/>
                <w:bCs/>
                <w:color w:val="auto"/>
                <w:highlight w:val="none"/>
              </w:rPr>
              <w:t>5~10</w:t>
            </w:r>
            <w:r>
              <w:rPr>
                <w:rFonts w:hint="eastAsia"/>
                <w:b/>
                <w:bCs/>
                <w:color w:val="auto"/>
                <w:highlight w:val="none"/>
                <w:lang w:eastAsia="zh-CN"/>
              </w:rPr>
              <w:t>天</w:t>
            </w:r>
            <w:r>
              <w:rPr>
                <w:rFonts w:hint="eastAsia"/>
                <w:b/>
                <w:bCs/>
                <w:color w:val="auto"/>
                <w:highlight w:val="none"/>
              </w:rPr>
              <w:t>包含供应商完成并提交工作底稿的时间，不允许带稿离开现场。）</w:t>
            </w:r>
            <w:r>
              <w:rPr>
                <w:rFonts w:hint="default"/>
                <w:color w:val="auto"/>
                <w:highlight w:val="none"/>
                <w:lang w:eastAsia="zh-CN"/>
              </w:rPr>
              <w:t>。</w:t>
            </w:r>
          </w:p>
          <w:p w14:paraId="55117109">
            <w:pPr>
              <w:keepNext w:val="0"/>
              <w:keepLines w:val="0"/>
              <w:pageBreakBefore w:val="0"/>
              <w:kinsoku/>
              <w:wordWrap/>
              <w:overflowPunct/>
              <w:topLinePunct w:val="0"/>
              <w:autoSpaceDE/>
              <w:autoSpaceDN/>
              <w:bidi w:val="0"/>
              <w:adjustRightInd/>
              <w:spacing w:afterAutospacing="0" w:line="360" w:lineRule="auto"/>
              <w:ind w:left="0" w:leftChars="0" w:firstLine="422" w:firstLineChars="200"/>
              <w:textAlignment w:val="auto"/>
              <w:rPr>
                <w:rFonts w:hint="eastAsia" w:ascii="Times New Roman" w:hAnsi="Times New Roman" w:cs="Times New Roman"/>
                <w:b/>
                <w:bCs/>
                <w:color w:val="auto"/>
                <w:highlight w:val="none"/>
                <w:lang w:val="en-US" w:eastAsia="zh-CN"/>
              </w:rPr>
            </w:pPr>
            <w:r>
              <w:rPr>
                <w:rFonts w:hint="eastAsia"/>
                <w:b/>
                <w:bCs/>
                <w:color w:val="auto"/>
                <w:highlight w:val="none"/>
                <w:lang w:val="en-US" w:eastAsia="zh-CN"/>
              </w:rPr>
              <w:t>2.</w:t>
            </w:r>
            <w:r>
              <w:rPr>
                <w:rFonts w:hint="default"/>
                <w:b/>
                <w:bCs/>
                <w:color w:val="auto"/>
                <w:highlight w:val="none"/>
              </w:rPr>
              <w:t>供应商</w:t>
            </w:r>
            <w:r>
              <w:rPr>
                <w:rFonts w:hint="eastAsia"/>
                <w:b/>
                <w:bCs/>
                <w:color w:val="auto"/>
                <w:highlight w:val="none"/>
                <w:lang w:eastAsia="zh-CN"/>
              </w:rPr>
              <w:t>实际</w:t>
            </w:r>
            <w:r>
              <w:rPr>
                <w:rFonts w:hint="default"/>
                <w:b/>
                <w:bCs/>
                <w:color w:val="auto"/>
                <w:highlight w:val="none"/>
              </w:rPr>
              <w:t>投入的人员</w:t>
            </w:r>
            <w:r>
              <w:rPr>
                <w:rFonts w:hint="default"/>
                <w:b/>
                <w:bCs/>
                <w:color w:val="auto"/>
                <w:highlight w:val="none"/>
                <w:lang w:eastAsia="zh-CN"/>
              </w:rPr>
              <w:t>应与响应文件</w:t>
            </w:r>
            <w:r>
              <w:rPr>
                <w:rFonts w:hint="eastAsia"/>
                <w:b/>
                <w:bCs/>
                <w:color w:val="auto"/>
                <w:highlight w:val="none"/>
                <w:lang w:eastAsia="zh-CN"/>
              </w:rPr>
              <w:t>拟</w:t>
            </w:r>
            <w:r>
              <w:rPr>
                <w:rFonts w:hint="default"/>
                <w:b/>
                <w:bCs/>
                <w:color w:val="auto"/>
                <w:highlight w:val="none"/>
                <w:lang w:eastAsia="zh-CN"/>
              </w:rPr>
              <w:t>提供的人员一致，</w:t>
            </w:r>
            <w:r>
              <w:rPr>
                <w:rFonts w:hint="eastAsia"/>
                <w:b/>
                <w:bCs/>
                <w:color w:val="auto"/>
                <w:highlight w:val="none"/>
                <w:lang w:eastAsia="zh-CN"/>
              </w:rPr>
              <w:t>其</w:t>
            </w:r>
            <w:r>
              <w:rPr>
                <w:rFonts w:hint="eastAsia"/>
                <w:b w:val="0"/>
                <w:bCs w:val="0"/>
                <w:color w:val="auto"/>
                <w:highlight w:val="none"/>
                <w:lang w:eastAsia="zh-CN"/>
              </w:rPr>
              <w:t>中“</w:t>
            </w:r>
            <w:r>
              <w:rPr>
                <w:rFonts w:hint="default"/>
                <w:b/>
                <w:bCs/>
                <w:color w:val="auto"/>
                <w:highlight w:val="none"/>
                <w:u w:val="single"/>
                <w:lang w:val="en-US" w:eastAsia="zh-CN"/>
              </w:rPr>
              <w:t>具有政府采购</w:t>
            </w:r>
            <w:r>
              <w:rPr>
                <w:rFonts w:hint="eastAsia"/>
                <w:b/>
                <w:bCs/>
                <w:color w:val="auto"/>
                <w:highlight w:val="none"/>
                <w:u w:val="single"/>
                <w:lang w:val="en-US" w:eastAsia="zh-CN"/>
              </w:rPr>
              <w:t>、招标投标专业知识、</w:t>
            </w:r>
            <w:r>
              <w:rPr>
                <w:rFonts w:hint="default"/>
                <w:b/>
                <w:bCs/>
                <w:color w:val="auto"/>
                <w:highlight w:val="none"/>
                <w:u w:val="single"/>
                <w:lang w:val="en-US" w:eastAsia="zh-CN"/>
              </w:rPr>
              <w:t>工程</w:t>
            </w:r>
            <w:r>
              <w:rPr>
                <w:rFonts w:hint="eastAsia"/>
                <w:b/>
                <w:bCs/>
                <w:color w:val="auto"/>
                <w:highlight w:val="none"/>
                <w:u w:val="single"/>
                <w:lang w:val="en-US" w:eastAsia="zh-CN"/>
              </w:rPr>
              <w:t>造价或工程招投标审核等类似</w:t>
            </w:r>
            <w:r>
              <w:rPr>
                <w:rFonts w:hint="default"/>
                <w:b/>
                <w:bCs/>
                <w:color w:val="auto"/>
                <w:highlight w:val="none"/>
                <w:u w:val="single"/>
              </w:rPr>
              <w:t>审计</w:t>
            </w:r>
            <w:r>
              <w:rPr>
                <w:rFonts w:hint="default"/>
                <w:b/>
                <w:bCs/>
                <w:color w:val="auto"/>
                <w:highlight w:val="none"/>
                <w:u w:val="single"/>
                <w:lang w:eastAsia="zh-CN"/>
              </w:rPr>
              <w:t>能力</w:t>
            </w:r>
            <w:r>
              <w:rPr>
                <w:rFonts w:hint="eastAsia"/>
                <w:b/>
                <w:bCs/>
                <w:color w:val="auto"/>
                <w:highlight w:val="none"/>
                <w:lang w:val="en-US" w:eastAsia="zh-CN"/>
              </w:rPr>
              <w:t>的专业</w:t>
            </w:r>
            <w:r>
              <w:rPr>
                <w:rFonts w:hint="default"/>
                <w:b/>
                <w:bCs/>
                <w:color w:val="auto"/>
                <w:highlight w:val="none"/>
                <w:lang w:eastAsia="zh-CN"/>
              </w:rPr>
              <w:t>人员</w:t>
            </w:r>
            <w:r>
              <w:rPr>
                <w:rFonts w:hint="eastAsia"/>
                <w:b w:val="0"/>
                <w:bCs w:val="0"/>
                <w:color w:val="auto"/>
                <w:highlight w:val="none"/>
                <w:lang w:eastAsia="zh-CN"/>
              </w:rPr>
              <w:t>”，原则上由磋商供应商在响应文件做出承诺【</w:t>
            </w:r>
            <w:r>
              <w:rPr>
                <w:rFonts w:hint="default"/>
                <w:b w:val="0"/>
                <w:bCs w:val="0"/>
                <w:color w:val="auto"/>
                <w:highlight w:val="none"/>
                <w:lang w:val="en-US" w:eastAsia="zh-CN"/>
              </w:rPr>
              <w:t>在响应文件</w:t>
            </w:r>
            <w:r>
              <w:rPr>
                <w:rFonts w:hint="eastAsia"/>
                <w:b w:val="0"/>
                <w:bCs w:val="0"/>
                <w:color w:val="auto"/>
                <w:highlight w:val="none"/>
                <w:lang w:val="en-US" w:eastAsia="zh-CN"/>
              </w:rPr>
              <w:t>提供</w:t>
            </w:r>
            <w:r>
              <w:rPr>
                <w:rFonts w:hint="default"/>
                <w:b w:val="0"/>
                <w:bCs w:val="0"/>
                <w:color w:val="auto"/>
                <w:highlight w:val="none"/>
                <w:lang w:val="en-US" w:eastAsia="zh-CN"/>
              </w:rPr>
              <w:t>承诺</w:t>
            </w:r>
            <w:r>
              <w:rPr>
                <w:rFonts w:hint="eastAsia"/>
                <w:b w:val="0"/>
                <w:bCs w:val="0"/>
                <w:color w:val="auto"/>
                <w:highlight w:val="none"/>
                <w:lang w:val="en-US" w:eastAsia="zh-CN"/>
              </w:rPr>
              <w:t>函</w:t>
            </w:r>
            <w:r>
              <w:rPr>
                <w:rFonts w:hint="default"/>
                <w:b w:val="0"/>
                <w:bCs w:val="0"/>
                <w:color w:val="auto"/>
                <w:highlight w:val="none"/>
                <w:lang w:val="en-US" w:eastAsia="zh-CN"/>
              </w:rPr>
              <w:t>，</w:t>
            </w:r>
            <w:r>
              <w:rPr>
                <w:rFonts w:hint="eastAsia"/>
                <w:b w:val="0"/>
                <w:bCs w:val="0"/>
                <w:color w:val="auto"/>
                <w:highlight w:val="none"/>
                <w:lang w:val="en-US" w:eastAsia="zh-CN"/>
              </w:rPr>
              <w:t>无需</w:t>
            </w:r>
            <w:r>
              <w:rPr>
                <w:rFonts w:hint="default"/>
                <w:b w:val="0"/>
                <w:bCs w:val="0"/>
                <w:color w:val="auto"/>
                <w:highlight w:val="none"/>
                <w:lang w:val="en-US" w:eastAsia="zh-CN"/>
              </w:rPr>
              <w:t>列入拟投入人员名单</w:t>
            </w:r>
            <w:r>
              <w:rPr>
                <w:rFonts w:hint="eastAsia"/>
                <w:b w:val="0"/>
                <w:bCs w:val="0"/>
                <w:color w:val="auto"/>
                <w:highlight w:val="none"/>
                <w:lang w:val="en-US" w:eastAsia="zh-CN"/>
              </w:rPr>
              <w:t>（项目实施人员一览表）</w:t>
            </w:r>
            <w:r>
              <w:rPr>
                <w:rFonts w:hint="eastAsia"/>
                <w:b w:val="0"/>
                <w:bCs w:val="0"/>
                <w:color w:val="auto"/>
                <w:highlight w:val="none"/>
                <w:lang w:eastAsia="zh-CN"/>
              </w:rPr>
              <w:t>】，承诺“</w:t>
            </w:r>
            <w:r>
              <w:rPr>
                <w:rFonts w:hint="eastAsia"/>
                <w:b/>
                <w:bCs/>
                <w:color w:val="auto"/>
                <w:highlight w:val="none"/>
                <w:lang w:eastAsia="zh-CN"/>
              </w:rPr>
              <w:t>从</w:t>
            </w:r>
            <w:r>
              <w:rPr>
                <w:rFonts w:hint="default"/>
                <w:b/>
                <w:bCs/>
                <w:color w:val="auto"/>
                <w:highlight w:val="none"/>
                <w:lang w:val="en-US" w:eastAsia="zh-CN"/>
              </w:rPr>
              <w:t>具有工程招标代理备案证明、政府采购代理备案证明的公司中</w:t>
            </w:r>
            <w:r>
              <w:rPr>
                <w:rFonts w:hint="eastAsia"/>
                <w:b/>
                <w:bCs/>
                <w:color w:val="auto"/>
                <w:highlight w:val="none"/>
                <w:lang w:val="en-US" w:eastAsia="zh-CN"/>
              </w:rPr>
              <w:t>派出，实际协审时由采购人审核，审核不通过的供应商应及时更换。</w:t>
            </w:r>
            <w:r>
              <w:rPr>
                <w:rFonts w:hint="eastAsia"/>
                <w:b w:val="0"/>
                <w:bCs w:val="0"/>
                <w:color w:val="auto"/>
                <w:highlight w:val="none"/>
                <w:lang w:eastAsia="zh-CN"/>
              </w:rPr>
              <w:t>”派出人员不得超出法定退休年龄</w:t>
            </w:r>
            <w:r>
              <w:rPr>
                <w:rFonts w:hint="eastAsia" w:ascii="Times New Roman" w:hAnsi="Times New Roman" w:cs="Times New Roman"/>
                <w:b/>
                <w:bCs/>
                <w:color w:val="auto"/>
                <w:highlight w:val="none"/>
                <w:lang w:val="en-US" w:eastAsia="zh-CN"/>
              </w:rPr>
              <w:t>。</w:t>
            </w:r>
          </w:p>
          <w:p w14:paraId="0430E4D8">
            <w:pPr>
              <w:keepNext w:val="0"/>
              <w:keepLines w:val="0"/>
              <w:pageBreakBefore w:val="0"/>
              <w:kinsoku/>
              <w:wordWrap/>
              <w:overflowPunct/>
              <w:topLinePunct w:val="0"/>
              <w:autoSpaceDE/>
              <w:autoSpaceDN/>
              <w:bidi w:val="0"/>
              <w:adjustRightInd/>
              <w:spacing w:afterAutospacing="0" w:line="360" w:lineRule="auto"/>
              <w:ind w:left="0" w:leftChars="0" w:firstLine="422" w:firstLineChars="200"/>
              <w:textAlignment w:val="auto"/>
              <w:rPr>
                <w:rFonts w:hint="default"/>
                <w:color w:val="auto"/>
                <w:highlight w:val="none"/>
              </w:rPr>
            </w:pPr>
            <w:r>
              <w:rPr>
                <w:rFonts w:hint="eastAsia"/>
                <w:b/>
                <w:bCs/>
                <w:color w:val="auto"/>
                <w:highlight w:val="none"/>
                <w:lang w:val="en-US" w:eastAsia="zh-CN"/>
              </w:rPr>
              <w:t>3.</w:t>
            </w:r>
            <w:r>
              <w:rPr>
                <w:rFonts w:hint="eastAsia"/>
                <w:b/>
                <w:bCs/>
                <w:color w:val="auto"/>
                <w:highlight w:val="none"/>
                <w:lang w:eastAsia="zh-CN"/>
              </w:rPr>
              <w:t>拟投入人员</w:t>
            </w:r>
            <w:r>
              <w:rPr>
                <w:rFonts w:hint="default"/>
                <w:b/>
                <w:bCs/>
                <w:color w:val="auto"/>
                <w:highlight w:val="none"/>
              </w:rPr>
              <w:t>须具有从事审计</w:t>
            </w:r>
            <w:r>
              <w:rPr>
                <w:rFonts w:hint="eastAsia"/>
                <w:b/>
                <w:bCs/>
                <w:color w:val="auto"/>
                <w:highlight w:val="none"/>
                <w:lang w:val="en-US" w:eastAsia="zh-CN"/>
              </w:rPr>
              <w:t>1</w:t>
            </w:r>
            <w:r>
              <w:rPr>
                <w:rFonts w:hint="default"/>
                <w:b/>
                <w:bCs/>
                <w:color w:val="auto"/>
                <w:highlight w:val="none"/>
              </w:rPr>
              <w:t>年（含）以上工作经验</w:t>
            </w:r>
            <w:r>
              <w:rPr>
                <w:rFonts w:hint="eastAsia"/>
                <w:color w:val="auto"/>
                <w:highlight w:val="none"/>
                <w:lang w:eastAsia="zh-CN"/>
              </w:rPr>
              <w:t>。成交供应商</w:t>
            </w:r>
            <w:r>
              <w:rPr>
                <w:rFonts w:hint="default"/>
                <w:color w:val="auto"/>
                <w:highlight w:val="none"/>
                <w:lang w:eastAsia="zh-CN"/>
              </w:rPr>
              <w:t>如</w:t>
            </w:r>
            <w:r>
              <w:rPr>
                <w:rFonts w:hint="eastAsia"/>
                <w:color w:val="auto"/>
                <w:highlight w:val="none"/>
                <w:lang w:eastAsia="zh-CN"/>
              </w:rPr>
              <w:t>因特殊原因</w:t>
            </w:r>
            <w:r>
              <w:rPr>
                <w:rFonts w:hint="default"/>
                <w:color w:val="auto"/>
                <w:highlight w:val="none"/>
                <w:lang w:eastAsia="zh-CN"/>
              </w:rPr>
              <w:t>需</w:t>
            </w:r>
            <w:r>
              <w:rPr>
                <w:rFonts w:hint="eastAsia"/>
                <w:color w:val="auto"/>
                <w:highlight w:val="none"/>
                <w:lang w:eastAsia="zh-CN"/>
              </w:rPr>
              <w:t>更换人员</w:t>
            </w:r>
            <w:r>
              <w:rPr>
                <w:rFonts w:hint="default"/>
                <w:color w:val="auto"/>
                <w:highlight w:val="none"/>
                <w:lang w:eastAsia="zh-CN"/>
              </w:rPr>
              <w:t>，需</w:t>
            </w:r>
            <w:r>
              <w:rPr>
                <w:rFonts w:hint="eastAsia"/>
                <w:color w:val="auto"/>
                <w:highlight w:val="none"/>
                <w:lang w:eastAsia="zh-CN"/>
              </w:rPr>
              <w:t>调整具有同等资质（含资格及工作经历）人员，并征得采购人</w:t>
            </w:r>
            <w:r>
              <w:rPr>
                <w:rFonts w:hint="default"/>
                <w:color w:val="auto"/>
                <w:highlight w:val="none"/>
                <w:lang w:eastAsia="zh-CN"/>
              </w:rPr>
              <w:t>同意，</w:t>
            </w:r>
            <w:r>
              <w:rPr>
                <w:rFonts w:hint="eastAsia"/>
                <w:color w:val="auto"/>
                <w:highlight w:val="none"/>
                <w:lang w:eastAsia="zh-CN"/>
              </w:rPr>
              <w:t>否则不予以更换。同时，</w:t>
            </w:r>
            <w:r>
              <w:rPr>
                <w:rFonts w:hint="eastAsia"/>
                <w:color w:val="auto"/>
                <w:highlight w:val="none"/>
                <w:lang w:val="en-US" w:eastAsia="zh-CN"/>
              </w:rPr>
              <w:t>每组更换不超过2人</w:t>
            </w:r>
            <w:r>
              <w:rPr>
                <w:rFonts w:hint="default"/>
                <w:color w:val="auto"/>
                <w:highlight w:val="none"/>
                <w:lang w:val="en-US" w:eastAsia="zh-CN"/>
              </w:rPr>
              <w:t>，人员能力、资质、业务水平等不低于响应文件所示人员</w:t>
            </w:r>
            <w:r>
              <w:rPr>
                <w:rFonts w:hint="default"/>
                <w:color w:val="auto"/>
                <w:highlight w:val="none"/>
              </w:rPr>
              <w:t>。</w:t>
            </w:r>
          </w:p>
          <w:p w14:paraId="1F6B21B9">
            <w:pPr>
              <w:keepNext w:val="0"/>
              <w:keepLines w:val="0"/>
              <w:pageBreakBefore w:val="0"/>
              <w:kinsoku/>
              <w:wordWrap/>
              <w:overflowPunct/>
              <w:topLinePunct w:val="0"/>
              <w:autoSpaceDE/>
              <w:autoSpaceDN/>
              <w:bidi w:val="0"/>
              <w:adjustRightInd/>
              <w:spacing w:afterAutospacing="0" w:line="360" w:lineRule="auto"/>
              <w:ind w:left="0" w:leftChars="0" w:firstLine="0" w:firstLineChars="0"/>
              <w:textAlignment w:val="auto"/>
              <w:rPr>
                <w:rFonts w:hint="default"/>
                <w:color w:val="auto"/>
                <w:highlight w:val="none"/>
              </w:rPr>
            </w:pPr>
          </w:p>
          <w:p w14:paraId="4C866364">
            <w:pPr>
              <w:keepNext w:val="0"/>
              <w:keepLines w:val="0"/>
              <w:pageBreakBefore w:val="0"/>
              <w:kinsoku/>
              <w:wordWrap/>
              <w:overflowPunct/>
              <w:topLinePunct w:val="0"/>
              <w:autoSpaceDE/>
              <w:autoSpaceDN/>
              <w:bidi w:val="0"/>
              <w:adjustRightInd/>
              <w:spacing w:afterAutospacing="0" w:line="360" w:lineRule="auto"/>
              <w:ind w:left="0" w:leftChars="0" w:firstLine="422" w:firstLineChars="200"/>
              <w:textAlignment w:val="auto"/>
              <w:rPr>
                <w:rFonts w:hint="default"/>
                <w:color w:val="auto"/>
                <w:highlight w:val="none"/>
              </w:rPr>
            </w:pPr>
            <w:r>
              <w:rPr>
                <w:rFonts w:hint="default"/>
                <w:b/>
                <w:bCs/>
                <w:color w:val="auto"/>
                <w:highlight w:val="none"/>
              </w:rPr>
              <w:t>（</w:t>
            </w:r>
            <w:r>
              <w:rPr>
                <w:rFonts w:hint="eastAsia"/>
                <w:b/>
                <w:bCs/>
                <w:color w:val="auto"/>
                <w:highlight w:val="none"/>
                <w:lang w:val="en-US" w:eastAsia="zh-CN"/>
              </w:rPr>
              <w:t>四</w:t>
            </w:r>
            <w:r>
              <w:rPr>
                <w:rFonts w:hint="default"/>
                <w:b/>
                <w:bCs/>
                <w:color w:val="auto"/>
                <w:highlight w:val="none"/>
              </w:rPr>
              <w:t>）专业胜任能力</w:t>
            </w:r>
            <w:r>
              <w:rPr>
                <w:rFonts w:hint="eastAsia"/>
                <w:b/>
                <w:bCs/>
                <w:color w:val="auto"/>
                <w:highlight w:val="none"/>
                <w:lang w:eastAsia="zh-CN"/>
              </w:rPr>
              <w:t>：</w:t>
            </w:r>
          </w:p>
          <w:p w14:paraId="2E934FDC">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color w:val="auto"/>
                <w:highlight w:val="none"/>
                <w:lang w:eastAsia="zh-CN"/>
              </w:rPr>
            </w:pPr>
            <w:r>
              <w:rPr>
                <w:rFonts w:hint="default"/>
                <w:color w:val="auto"/>
                <w:highlight w:val="none"/>
              </w:rPr>
              <w:t>（1）具备从事行政事业单位领导干部经济责任审计经历</w:t>
            </w:r>
            <w:r>
              <w:rPr>
                <w:rFonts w:hint="eastAsia"/>
                <w:color w:val="auto"/>
                <w:highlight w:val="none"/>
                <w:lang w:eastAsia="zh-CN"/>
              </w:rPr>
              <w:t>，特别是参与或独立完成行政事业单位委托的经济责任审计项目经历。</w:t>
            </w:r>
            <w:r>
              <w:rPr>
                <w:rFonts w:hint="default"/>
                <w:color w:val="auto"/>
                <w:highlight w:val="none"/>
              </w:rPr>
              <w:t>供应商</w:t>
            </w:r>
            <w:r>
              <w:rPr>
                <w:rFonts w:hint="default"/>
                <w:color w:val="auto"/>
                <w:highlight w:val="none"/>
                <w:lang w:eastAsia="zh-CN"/>
              </w:rPr>
              <w:t>派出的</w:t>
            </w:r>
            <w:r>
              <w:rPr>
                <w:rFonts w:hint="default"/>
                <w:color w:val="auto"/>
                <w:highlight w:val="none"/>
              </w:rPr>
              <w:t>协审人员</w:t>
            </w:r>
            <w:r>
              <w:rPr>
                <w:rFonts w:hint="default"/>
                <w:color w:val="auto"/>
                <w:highlight w:val="none"/>
                <w:lang w:eastAsia="zh-CN"/>
              </w:rPr>
              <w:t>在</w:t>
            </w:r>
            <w:r>
              <w:rPr>
                <w:rFonts w:hint="eastAsia"/>
                <w:b/>
                <w:bCs/>
                <w:color w:val="auto"/>
                <w:highlight w:val="none"/>
                <w:u w:val="single"/>
                <w:lang w:val="en-US" w:eastAsia="zh-CN"/>
              </w:rPr>
              <w:t>开展审查服务</w:t>
            </w:r>
            <w:r>
              <w:rPr>
                <w:rFonts w:hint="default"/>
                <w:b/>
                <w:bCs/>
                <w:color w:val="auto"/>
                <w:highlight w:val="none"/>
                <w:u w:val="single"/>
                <w:lang w:eastAsia="zh-CN"/>
              </w:rPr>
              <w:t>前</w:t>
            </w:r>
            <w:r>
              <w:rPr>
                <w:rFonts w:hint="default"/>
                <w:color w:val="auto"/>
                <w:highlight w:val="none"/>
                <w:lang w:eastAsia="zh-CN"/>
              </w:rPr>
              <w:t>，应</w:t>
            </w:r>
            <w:r>
              <w:rPr>
                <w:rFonts w:hint="eastAsia"/>
                <w:color w:val="auto"/>
                <w:highlight w:val="none"/>
                <w:lang w:eastAsia="zh-CN"/>
              </w:rPr>
              <w:t>提前</w:t>
            </w:r>
            <w:r>
              <w:rPr>
                <w:rFonts w:hint="default"/>
                <w:color w:val="auto"/>
                <w:highlight w:val="none"/>
                <w:lang w:eastAsia="zh-CN"/>
              </w:rPr>
              <w:t>熟练掌握国家移民管理机构和广西出入境边防检查总站财务、资产、采购、工程、审计等相关管理规章制度，严格依法依规开展</w:t>
            </w:r>
            <w:r>
              <w:rPr>
                <w:rFonts w:hint="eastAsia"/>
                <w:b/>
                <w:bCs/>
                <w:color w:val="auto"/>
                <w:highlight w:val="none"/>
                <w:u w:val="single"/>
                <w:lang w:val="en-US" w:eastAsia="zh-CN"/>
              </w:rPr>
              <w:t>会计审查服务</w:t>
            </w:r>
            <w:r>
              <w:rPr>
                <w:rFonts w:hint="default"/>
                <w:color w:val="auto"/>
                <w:highlight w:val="none"/>
                <w:lang w:eastAsia="zh-CN"/>
              </w:rPr>
              <w:t>。</w:t>
            </w:r>
          </w:p>
          <w:p w14:paraId="23EAC0E7">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color w:val="auto"/>
                <w:highlight w:val="none"/>
                <w:lang w:eastAsia="zh-CN"/>
              </w:rPr>
            </w:pPr>
            <w:r>
              <w:rPr>
                <w:rFonts w:hint="default"/>
                <w:color w:val="auto"/>
                <w:highlight w:val="none"/>
                <w:lang w:eastAsia="zh-CN"/>
              </w:rPr>
              <w:t>（</w:t>
            </w:r>
            <w:r>
              <w:rPr>
                <w:rFonts w:hint="default"/>
                <w:color w:val="auto"/>
                <w:highlight w:val="none"/>
                <w:lang w:val="en-US" w:eastAsia="zh-CN"/>
              </w:rPr>
              <w:t>2</w:t>
            </w:r>
            <w:r>
              <w:rPr>
                <w:rFonts w:hint="default"/>
                <w:color w:val="auto"/>
                <w:highlight w:val="none"/>
                <w:lang w:eastAsia="zh-CN"/>
              </w:rPr>
              <w:t>）</w:t>
            </w:r>
            <w:r>
              <w:rPr>
                <w:rFonts w:hint="default"/>
                <w:color w:val="auto"/>
                <w:highlight w:val="none"/>
              </w:rPr>
              <w:t>供应商应具备良好的风险管理与质量控制体系，确保审计项目质量控制优良</w:t>
            </w:r>
            <w:r>
              <w:rPr>
                <w:rFonts w:hint="default"/>
                <w:color w:val="auto"/>
                <w:highlight w:val="none"/>
                <w:lang w:eastAsia="zh-CN"/>
              </w:rPr>
              <w:t>，</w:t>
            </w:r>
            <w:r>
              <w:rPr>
                <w:rFonts w:hint="default"/>
                <w:color w:val="auto"/>
                <w:highlight w:val="none"/>
              </w:rPr>
              <w:t>遵章守纪，较好地执行行业管理规定</w:t>
            </w:r>
            <w:r>
              <w:rPr>
                <w:rFonts w:hint="default"/>
                <w:color w:val="auto"/>
                <w:highlight w:val="none"/>
                <w:lang w:eastAsia="zh-CN"/>
              </w:rPr>
              <w:t>。</w:t>
            </w:r>
            <w:r>
              <w:rPr>
                <w:rFonts w:hint="default"/>
                <w:color w:val="auto"/>
                <w:highlight w:val="none"/>
                <w:lang w:val="zh-CN"/>
              </w:rPr>
              <w:t>供应商应当对</w:t>
            </w:r>
            <w:r>
              <w:rPr>
                <w:rFonts w:hint="eastAsia"/>
                <w:b/>
                <w:bCs/>
                <w:color w:val="auto"/>
                <w:highlight w:val="none"/>
                <w:lang w:val="en-US" w:eastAsia="zh-CN"/>
              </w:rPr>
              <w:t>协审</w:t>
            </w:r>
            <w:r>
              <w:rPr>
                <w:rFonts w:hint="default"/>
                <w:color w:val="auto"/>
                <w:highlight w:val="none"/>
                <w:lang w:val="zh-CN"/>
              </w:rPr>
              <w:t>工作中的重要事项以及</w:t>
            </w:r>
            <w:r>
              <w:rPr>
                <w:rFonts w:hint="eastAsia"/>
                <w:b/>
                <w:bCs/>
                <w:color w:val="auto"/>
                <w:highlight w:val="none"/>
                <w:lang w:val="en-US" w:eastAsia="zh-CN"/>
              </w:rPr>
              <w:t>协审</w:t>
            </w:r>
            <w:r>
              <w:rPr>
                <w:rFonts w:hint="default"/>
                <w:color w:val="auto"/>
                <w:highlight w:val="none"/>
                <w:lang w:val="zh-CN"/>
              </w:rPr>
              <w:t>人员的专业判断进行记录，根据国家、地方现行</w:t>
            </w:r>
            <w:r>
              <w:rPr>
                <w:rFonts w:hint="eastAsia"/>
                <w:color w:val="auto"/>
                <w:highlight w:val="none"/>
                <w:lang w:val="zh-CN"/>
              </w:rPr>
              <w:t>行业</w:t>
            </w:r>
            <w:r>
              <w:rPr>
                <w:rFonts w:hint="default"/>
                <w:color w:val="auto"/>
                <w:highlight w:val="none"/>
                <w:lang w:val="zh-CN"/>
              </w:rPr>
              <w:t>标准和</w:t>
            </w:r>
            <w:r>
              <w:rPr>
                <w:rFonts w:hint="eastAsia"/>
                <w:color w:val="auto"/>
                <w:highlight w:val="none"/>
                <w:lang w:val="zh-CN"/>
              </w:rPr>
              <w:t>中国</w:t>
            </w:r>
            <w:r>
              <w:rPr>
                <w:rFonts w:hint="default"/>
                <w:color w:val="auto"/>
                <w:highlight w:val="none"/>
                <w:lang w:val="zh-CN"/>
              </w:rPr>
              <w:t>内部审计准则，取得审计证据</w:t>
            </w:r>
            <w:r>
              <w:rPr>
                <w:rFonts w:hint="default"/>
                <w:color w:val="auto"/>
                <w:highlight w:val="none"/>
                <w:lang w:val="zh-CN" w:eastAsia="zh-CN"/>
              </w:rPr>
              <w:t>、</w:t>
            </w:r>
            <w:r>
              <w:rPr>
                <w:rFonts w:hint="default"/>
                <w:color w:val="auto"/>
                <w:highlight w:val="none"/>
                <w:lang w:val="zh-CN"/>
              </w:rPr>
              <w:t>编制审计工作底稿，协助起草审计报告（征求意见稿）等，并对审计取证单和审计工作底稿的真实性、完整性负责。审计工作底稿交由采购方复核</w:t>
            </w:r>
            <w:r>
              <w:rPr>
                <w:rFonts w:hint="default"/>
                <w:color w:val="auto"/>
                <w:highlight w:val="none"/>
                <w:lang w:val="zh-CN" w:eastAsia="zh-CN"/>
              </w:rPr>
              <w:t>。</w:t>
            </w:r>
          </w:p>
          <w:p w14:paraId="3FD6C284">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color w:val="auto"/>
                <w:highlight w:val="none"/>
              </w:rPr>
            </w:pPr>
            <w:r>
              <w:rPr>
                <w:rFonts w:hint="eastAsia"/>
                <w:color w:val="auto"/>
                <w:highlight w:val="none"/>
                <w:lang w:eastAsia="zh-CN"/>
              </w:rPr>
              <w:t>（</w:t>
            </w:r>
            <w:r>
              <w:rPr>
                <w:rFonts w:hint="eastAsia"/>
                <w:color w:val="auto"/>
                <w:highlight w:val="none"/>
                <w:lang w:val="en-US" w:eastAsia="zh-CN"/>
              </w:rPr>
              <w:t>3</w:t>
            </w:r>
            <w:r>
              <w:rPr>
                <w:rFonts w:hint="eastAsia"/>
                <w:color w:val="auto"/>
                <w:highlight w:val="none"/>
                <w:lang w:eastAsia="zh-CN"/>
              </w:rPr>
              <w:t>）</w:t>
            </w:r>
            <w:r>
              <w:rPr>
                <w:rFonts w:hint="default"/>
                <w:color w:val="auto"/>
                <w:highlight w:val="none"/>
              </w:rPr>
              <w:t>供应商应在信息安全、工作底稿数据保护等方面采取有效措施，遵守保密规定，履行保密责任。</w:t>
            </w:r>
            <w:r>
              <w:rPr>
                <w:rFonts w:hint="default"/>
                <w:color w:val="auto"/>
                <w:highlight w:val="none"/>
                <w:lang w:val="zh-CN"/>
              </w:rPr>
              <w:t>包括承诺在合同期结束后保密义务，并承担相应的泄密责任。</w:t>
            </w:r>
          </w:p>
          <w:p w14:paraId="21F77414">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color w:val="auto"/>
                <w:highlight w:val="none"/>
                <w:lang w:val="zh-CN"/>
              </w:rPr>
            </w:pPr>
            <w:r>
              <w:rPr>
                <w:rFonts w:hint="default"/>
                <w:color w:val="auto"/>
                <w:highlight w:val="none"/>
              </w:rPr>
              <w:t>（4）供应商</w:t>
            </w:r>
            <w:r>
              <w:rPr>
                <w:rFonts w:hint="eastAsia"/>
                <w:color w:val="auto"/>
                <w:highlight w:val="none"/>
                <w:lang w:eastAsia="zh-CN"/>
              </w:rPr>
              <w:t>派出的协审</w:t>
            </w:r>
            <w:r>
              <w:rPr>
                <w:rFonts w:hint="default"/>
                <w:color w:val="auto"/>
                <w:highlight w:val="none"/>
              </w:rPr>
              <w:t>人员应严格遵守</w:t>
            </w:r>
            <w:r>
              <w:rPr>
                <w:rFonts w:hint="default"/>
                <w:color w:val="auto"/>
                <w:highlight w:val="none"/>
                <w:lang w:eastAsia="zh-CN"/>
              </w:rPr>
              <w:t>国家内部审计及</w:t>
            </w:r>
            <w:r>
              <w:rPr>
                <w:rFonts w:hint="default"/>
                <w:color w:val="auto"/>
                <w:highlight w:val="none"/>
              </w:rPr>
              <w:t>广西出入境边防检查总站的各项工作纪律和廉政要求，保证</w:t>
            </w:r>
            <w:r>
              <w:rPr>
                <w:rFonts w:hint="eastAsia"/>
                <w:b/>
                <w:bCs/>
                <w:color w:val="auto"/>
                <w:highlight w:val="none"/>
                <w:lang w:val="en-US" w:eastAsia="zh-CN"/>
              </w:rPr>
              <w:t>协审</w:t>
            </w:r>
            <w:r>
              <w:rPr>
                <w:rFonts w:hint="default"/>
                <w:color w:val="auto"/>
                <w:highlight w:val="none"/>
              </w:rPr>
              <w:t>工作质量</w:t>
            </w:r>
            <w:r>
              <w:rPr>
                <w:rFonts w:hint="default"/>
                <w:color w:val="auto"/>
                <w:highlight w:val="none"/>
                <w:lang w:eastAsia="zh-CN"/>
              </w:rPr>
              <w:t>。</w:t>
            </w:r>
          </w:p>
          <w:p w14:paraId="4295A1D9">
            <w:pPr>
              <w:keepNext w:val="0"/>
              <w:keepLines w:val="0"/>
              <w:pageBreakBefore w:val="0"/>
              <w:kinsoku/>
              <w:wordWrap/>
              <w:overflowPunct/>
              <w:topLinePunct w:val="0"/>
              <w:autoSpaceDE/>
              <w:autoSpaceDN/>
              <w:bidi w:val="0"/>
              <w:adjustRightInd/>
              <w:spacing w:afterAutospacing="0" w:line="360" w:lineRule="auto"/>
              <w:ind w:left="0" w:leftChars="0" w:firstLine="422" w:firstLineChars="200"/>
              <w:textAlignment w:val="auto"/>
              <w:rPr>
                <w:rFonts w:hint="default"/>
                <w:color w:val="auto"/>
                <w:highlight w:val="none"/>
              </w:rPr>
            </w:pPr>
            <w:r>
              <w:rPr>
                <w:rFonts w:hint="eastAsia"/>
                <w:b/>
                <w:bCs/>
                <w:color w:val="auto"/>
                <w:highlight w:val="none"/>
                <w:lang w:eastAsia="zh-CN"/>
              </w:rPr>
              <w:t>（</w:t>
            </w:r>
            <w:r>
              <w:rPr>
                <w:rFonts w:hint="eastAsia"/>
                <w:b/>
                <w:bCs/>
                <w:color w:val="auto"/>
                <w:highlight w:val="none"/>
                <w:lang w:val="en-US" w:eastAsia="zh-CN"/>
              </w:rPr>
              <w:t>5</w:t>
            </w:r>
            <w:r>
              <w:rPr>
                <w:rFonts w:hint="eastAsia"/>
                <w:b/>
                <w:bCs/>
                <w:color w:val="auto"/>
                <w:highlight w:val="none"/>
                <w:lang w:eastAsia="zh-CN"/>
              </w:rPr>
              <w:t>）</w:t>
            </w:r>
            <w:r>
              <w:rPr>
                <w:rFonts w:hint="eastAsia"/>
                <w:b/>
                <w:bCs/>
                <w:color w:val="auto"/>
                <w:highlight w:val="none"/>
                <w:lang w:val="en-US" w:eastAsia="zh-CN"/>
              </w:rPr>
              <w:t>供应商不需要出具由供应商署名或签章的审计报告。</w:t>
            </w:r>
          </w:p>
          <w:p w14:paraId="3DEE57F0">
            <w:pPr>
              <w:keepNext w:val="0"/>
              <w:keepLines w:val="0"/>
              <w:pageBreakBefore w:val="0"/>
              <w:kinsoku/>
              <w:wordWrap/>
              <w:overflowPunct/>
              <w:topLinePunct w:val="0"/>
              <w:autoSpaceDE/>
              <w:autoSpaceDN/>
              <w:bidi w:val="0"/>
              <w:adjustRightInd/>
              <w:spacing w:afterAutospacing="0" w:line="360" w:lineRule="auto"/>
              <w:ind w:left="0" w:leftChars="0" w:firstLine="422" w:firstLineChars="200"/>
              <w:textAlignment w:val="auto"/>
              <w:rPr>
                <w:rFonts w:hint="default"/>
                <w:b/>
                <w:bCs/>
                <w:color w:val="auto"/>
                <w:highlight w:val="none"/>
              </w:rPr>
            </w:pPr>
          </w:p>
          <w:p w14:paraId="3C6BC986">
            <w:pPr>
              <w:keepNext w:val="0"/>
              <w:keepLines w:val="0"/>
              <w:pageBreakBefore w:val="0"/>
              <w:kinsoku/>
              <w:wordWrap/>
              <w:overflowPunct/>
              <w:topLinePunct w:val="0"/>
              <w:autoSpaceDE/>
              <w:autoSpaceDN/>
              <w:bidi w:val="0"/>
              <w:adjustRightInd/>
              <w:spacing w:afterAutospacing="0" w:line="360" w:lineRule="auto"/>
              <w:ind w:left="0" w:leftChars="0" w:firstLine="422" w:firstLineChars="200"/>
              <w:textAlignment w:val="auto"/>
              <w:rPr>
                <w:rFonts w:hint="default"/>
                <w:b/>
                <w:bCs/>
                <w:color w:val="auto"/>
                <w:highlight w:val="none"/>
              </w:rPr>
            </w:pPr>
            <w:r>
              <w:rPr>
                <w:rFonts w:hint="default"/>
                <w:b/>
                <w:bCs/>
                <w:color w:val="auto"/>
                <w:highlight w:val="none"/>
                <w:lang w:eastAsia="zh-CN"/>
              </w:rPr>
              <w:t>二</w:t>
            </w:r>
            <w:r>
              <w:rPr>
                <w:rFonts w:hint="default"/>
                <w:b/>
                <w:bCs/>
                <w:color w:val="auto"/>
                <w:highlight w:val="none"/>
              </w:rPr>
              <w:t>、</w:t>
            </w:r>
            <w:r>
              <w:rPr>
                <w:rFonts w:hint="eastAsia"/>
                <w:b/>
                <w:bCs/>
                <w:color w:val="auto"/>
                <w:highlight w:val="none"/>
                <w:lang w:val="en-US" w:eastAsia="zh-CN"/>
              </w:rPr>
              <w:t>需要协助</w:t>
            </w:r>
            <w:r>
              <w:rPr>
                <w:rFonts w:hint="default"/>
                <w:b/>
                <w:bCs/>
                <w:color w:val="auto"/>
                <w:highlight w:val="none"/>
              </w:rPr>
              <w:t>审计工作组</w:t>
            </w:r>
            <w:r>
              <w:rPr>
                <w:rFonts w:hint="eastAsia"/>
                <w:b/>
                <w:bCs/>
                <w:color w:val="auto"/>
                <w:highlight w:val="none"/>
                <w:lang w:val="en-US" w:eastAsia="zh-CN"/>
              </w:rPr>
              <w:t>审查的工作</w:t>
            </w:r>
            <w:r>
              <w:rPr>
                <w:rFonts w:hint="default"/>
                <w:b/>
                <w:bCs/>
                <w:color w:val="auto"/>
                <w:highlight w:val="none"/>
              </w:rPr>
              <w:t>内容</w:t>
            </w:r>
          </w:p>
          <w:p w14:paraId="3226B034">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color w:val="auto"/>
                <w:highlight w:val="none"/>
              </w:rPr>
            </w:pPr>
            <w:r>
              <w:rPr>
                <w:rFonts w:hint="default"/>
                <w:color w:val="auto"/>
                <w:highlight w:val="none"/>
              </w:rPr>
              <w:t>（一）贯彻执行党和国家有关经济方针政策和国家移民管理局党组、广西出入境边防检查总站党委决策部署情况；</w:t>
            </w:r>
          </w:p>
          <w:p w14:paraId="5B6679C4">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color w:val="auto"/>
                <w:highlight w:val="none"/>
              </w:rPr>
            </w:pPr>
            <w:r>
              <w:rPr>
                <w:rFonts w:hint="default"/>
                <w:color w:val="auto"/>
                <w:highlight w:val="none"/>
              </w:rPr>
              <w:t>（二）本单位重要发展规划和政策措施的制定、执行和效果情况；</w:t>
            </w:r>
          </w:p>
          <w:p w14:paraId="14F86E1B">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color w:val="auto"/>
                <w:highlight w:val="none"/>
              </w:rPr>
            </w:pPr>
            <w:r>
              <w:rPr>
                <w:rFonts w:hint="default"/>
                <w:color w:val="auto"/>
                <w:highlight w:val="none"/>
              </w:rPr>
              <w:t>（三）重大经济事项的决策、执行和效果情况；</w:t>
            </w:r>
          </w:p>
          <w:p w14:paraId="7E70BEC8">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color w:val="auto"/>
                <w:highlight w:val="none"/>
              </w:rPr>
            </w:pPr>
            <w:r>
              <w:rPr>
                <w:rFonts w:hint="default"/>
                <w:color w:val="auto"/>
                <w:highlight w:val="none"/>
              </w:rPr>
              <w:t>（四）财政财务管理和经济风险防范情况，在预算管理中执行机构编制管理规定情况；</w:t>
            </w:r>
          </w:p>
          <w:p w14:paraId="0267E7D0">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color w:val="auto"/>
                <w:highlight w:val="none"/>
              </w:rPr>
            </w:pPr>
            <w:r>
              <w:rPr>
                <w:rFonts w:hint="default"/>
                <w:color w:val="auto"/>
                <w:highlight w:val="none"/>
              </w:rPr>
              <w:t>（五）在经济活动中落实有关党风廉政建设责任和遵守廉洁从政规定情况；</w:t>
            </w:r>
          </w:p>
          <w:p w14:paraId="3BC6E625">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color w:val="auto"/>
                <w:highlight w:val="none"/>
              </w:rPr>
            </w:pPr>
            <w:r>
              <w:rPr>
                <w:rFonts w:hint="default"/>
                <w:color w:val="auto"/>
                <w:highlight w:val="none"/>
              </w:rPr>
              <w:t>（六）监督检查财政财务收支的真实合法性、资金发挥效益情况、国有资产的管理、重大投资项目、基建、采购、信息化项目采购过程和建设等情况</w:t>
            </w:r>
            <w:r>
              <w:rPr>
                <w:rFonts w:hint="default"/>
                <w:color w:val="auto"/>
                <w:highlight w:val="none"/>
                <w:lang w:eastAsia="zh-CN"/>
              </w:rPr>
              <w:t>；</w:t>
            </w:r>
          </w:p>
          <w:p w14:paraId="47967126">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color w:val="auto"/>
                <w:highlight w:val="none"/>
              </w:rPr>
            </w:pPr>
            <w:r>
              <w:rPr>
                <w:rFonts w:hint="default"/>
                <w:color w:val="auto"/>
                <w:highlight w:val="none"/>
              </w:rPr>
              <w:t>（七）以往审计发现问题的整改情况；</w:t>
            </w:r>
          </w:p>
          <w:p w14:paraId="212C11E9">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color w:val="auto"/>
                <w:highlight w:val="none"/>
                <w:lang w:eastAsia="zh-CN"/>
              </w:rPr>
            </w:pPr>
            <w:r>
              <w:rPr>
                <w:rFonts w:hint="default"/>
                <w:color w:val="auto"/>
                <w:highlight w:val="none"/>
              </w:rPr>
              <w:t>（八）其他需要审计的内容</w:t>
            </w:r>
            <w:r>
              <w:rPr>
                <w:rFonts w:hint="default"/>
                <w:color w:val="auto"/>
                <w:highlight w:val="none"/>
                <w:lang w:eastAsia="zh-CN"/>
              </w:rPr>
              <w:t>。</w:t>
            </w:r>
          </w:p>
          <w:p w14:paraId="1870F7B7">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color w:val="auto"/>
                <w:highlight w:val="none"/>
                <w:lang w:eastAsia="zh-CN"/>
              </w:rPr>
            </w:pPr>
            <w:r>
              <w:rPr>
                <w:rFonts w:hint="eastAsia"/>
                <w:color w:val="auto"/>
                <w:highlight w:val="none"/>
                <w:lang w:eastAsia="zh-CN"/>
              </w:rPr>
              <w:t>根据工作秘密情况，以上审计内容须以采购人现场要求为准。</w:t>
            </w:r>
          </w:p>
          <w:p w14:paraId="5AFA9E73">
            <w:pPr>
              <w:keepNext w:val="0"/>
              <w:keepLines w:val="0"/>
              <w:pageBreakBefore w:val="0"/>
              <w:kinsoku/>
              <w:wordWrap/>
              <w:overflowPunct/>
              <w:topLinePunct w:val="0"/>
              <w:autoSpaceDE/>
              <w:autoSpaceDN/>
              <w:bidi w:val="0"/>
              <w:adjustRightInd/>
              <w:spacing w:afterAutospacing="0" w:line="360" w:lineRule="auto"/>
              <w:ind w:left="0" w:leftChars="0" w:firstLine="422" w:firstLineChars="200"/>
              <w:textAlignment w:val="auto"/>
              <w:rPr>
                <w:rFonts w:hint="default"/>
                <w:b/>
                <w:bCs/>
                <w:color w:val="auto"/>
                <w:highlight w:val="none"/>
                <w:lang w:eastAsia="zh-CN"/>
              </w:rPr>
            </w:pPr>
          </w:p>
          <w:p w14:paraId="6381CBC5">
            <w:pPr>
              <w:keepNext w:val="0"/>
              <w:keepLines w:val="0"/>
              <w:pageBreakBefore w:val="0"/>
              <w:kinsoku/>
              <w:wordWrap/>
              <w:overflowPunct/>
              <w:topLinePunct w:val="0"/>
              <w:autoSpaceDE/>
              <w:autoSpaceDN/>
              <w:bidi w:val="0"/>
              <w:adjustRightInd/>
              <w:spacing w:afterAutospacing="0" w:line="360" w:lineRule="auto"/>
              <w:ind w:left="0" w:leftChars="0" w:firstLine="422" w:firstLineChars="200"/>
              <w:textAlignment w:val="auto"/>
              <w:rPr>
                <w:rFonts w:hint="default"/>
                <w:b/>
                <w:bCs/>
                <w:color w:val="auto"/>
                <w:highlight w:val="none"/>
              </w:rPr>
            </w:pPr>
            <w:r>
              <w:rPr>
                <w:rFonts w:hint="default"/>
                <w:b/>
                <w:bCs/>
                <w:color w:val="auto"/>
                <w:highlight w:val="none"/>
                <w:lang w:eastAsia="zh-CN"/>
              </w:rPr>
              <w:t>三</w:t>
            </w:r>
            <w:r>
              <w:rPr>
                <w:rFonts w:hint="default"/>
                <w:b/>
                <w:bCs/>
                <w:color w:val="auto"/>
                <w:highlight w:val="none"/>
              </w:rPr>
              <w:t>、对</w:t>
            </w:r>
            <w:r>
              <w:rPr>
                <w:rFonts w:hint="default"/>
                <w:b/>
                <w:bCs/>
                <w:color w:val="auto"/>
                <w:highlight w:val="none"/>
                <w:lang w:eastAsia="zh-CN"/>
              </w:rPr>
              <w:t>供应商</w:t>
            </w:r>
            <w:r>
              <w:rPr>
                <w:rFonts w:hint="default"/>
                <w:b/>
                <w:bCs/>
                <w:color w:val="auto"/>
                <w:highlight w:val="none"/>
              </w:rPr>
              <w:t>的要求</w:t>
            </w:r>
          </w:p>
          <w:p w14:paraId="1F75DD94">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color w:val="auto"/>
                <w:highlight w:val="none"/>
              </w:rPr>
            </w:pPr>
            <w:r>
              <w:rPr>
                <w:rFonts w:hint="default"/>
                <w:color w:val="auto"/>
                <w:highlight w:val="none"/>
              </w:rPr>
              <w:t>（一）</w:t>
            </w:r>
            <w:r>
              <w:rPr>
                <w:rFonts w:hint="eastAsia"/>
                <w:color w:val="auto"/>
                <w:highlight w:val="none"/>
              </w:rPr>
              <w:t>供应商应具备有效的省级（自治区、直辖市）财政部门颁发的《会计师事务所执业证书》或《会计师事务所(分所)执业证书》</w:t>
            </w:r>
            <w:r>
              <w:rPr>
                <w:rFonts w:hint="default"/>
                <w:color w:val="auto"/>
                <w:highlight w:val="none"/>
              </w:rPr>
              <w:t>。</w:t>
            </w:r>
          </w:p>
          <w:p w14:paraId="42D9754C">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color w:val="auto"/>
                <w:highlight w:val="none"/>
              </w:rPr>
            </w:pPr>
            <w:r>
              <w:rPr>
                <w:rFonts w:hint="default"/>
                <w:color w:val="auto"/>
                <w:highlight w:val="none"/>
              </w:rPr>
              <w:t>（二）</w:t>
            </w:r>
            <w:r>
              <w:rPr>
                <w:rFonts w:hint="eastAsia"/>
                <w:b/>
                <w:bCs/>
                <w:color w:val="auto"/>
                <w:highlight w:val="none"/>
                <w:u w:val="single"/>
                <w:lang w:val="en-US" w:eastAsia="zh-CN"/>
              </w:rPr>
              <w:t>供应商</w:t>
            </w:r>
            <w:r>
              <w:rPr>
                <w:rFonts w:hint="default"/>
                <w:color w:val="auto"/>
                <w:highlight w:val="none"/>
              </w:rPr>
              <w:t>应站在采购人的立场上对采购人安排的项目进行认真、细致、公正的</w:t>
            </w:r>
            <w:r>
              <w:rPr>
                <w:rFonts w:hint="eastAsia"/>
                <w:color w:val="auto"/>
                <w:highlight w:val="none"/>
                <w:lang w:val="en-US" w:eastAsia="zh-CN"/>
              </w:rPr>
              <w:t>会计审查</w:t>
            </w:r>
            <w:r>
              <w:rPr>
                <w:rFonts w:hint="default"/>
                <w:color w:val="auto"/>
                <w:highlight w:val="none"/>
              </w:rPr>
              <w:t>。</w:t>
            </w:r>
          </w:p>
          <w:p w14:paraId="614C37A9">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color w:val="auto"/>
                <w:highlight w:val="none"/>
                <w:lang w:eastAsia="zh-CN"/>
              </w:rPr>
            </w:pPr>
            <w:r>
              <w:rPr>
                <w:rFonts w:hint="default"/>
                <w:color w:val="auto"/>
                <w:highlight w:val="none"/>
              </w:rPr>
              <w:t>（</w:t>
            </w:r>
            <w:r>
              <w:rPr>
                <w:rFonts w:hint="default"/>
                <w:color w:val="auto"/>
                <w:highlight w:val="none"/>
                <w:lang w:eastAsia="zh-CN"/>
              </w:rPr>
              <w:t>三</w:t>
            </w:r>
            <w:r>
              <w:rPr>
                <w:rFonts w:hint="default"/>
                <w:color w:val="auto"/>
                <w:highlight w:val="none"/>
              </w:rPr>
              <w:t>）供应商不得将</w:t>
            </w:r>
            <w:r>
              <w:rPr>
                <w:rFonts w:hint="eastAsia"/>
                <w:color w:val="auto"/>
                <w:highlight w:val="none"/>
                <w:lang w:val="en-US" w:eastAsia="zh-CN"/>
              </w:rPr>
              <w:t>本</w:t>
            </w:r>
            <w:r>
              <w:rPr>
                <w:rFonts w:hint="default"/>
                <w:color w:val="auto"/>
                <w:highlight w:val="none"/>
              </w:rPr>
              <w:t>协审项目转包、分包给其他单位或个人</w:t>
            </w:r>
            <w:r>
              <w:rPr>
                <w:rFonts w:hint="default"/>
                <w:color w:val="auto"/>
                <w:highlight w:val="none"/>
                <w:lang w:eastAsia="zh-CN"/>
              </w:rPr>
              <w:t>。</w:t>
            </w:r>
          </w:p>
          <w:p w14:paraId="4243703A">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color w:val="auto"/>
                <w:highlight w:val="none"/>
              </w:rPr>
            </w:pPr>
            <w:r>
              <w:rPr>
                <w:rFonts w:hint="default"/>
                <w:color w:val="auto"/>
                <w:highlight w:val="none"/>
              </w:rPr>
              <w:t>（</w:t>
            </w:r>
            <w:r>
              <w:rPr>
                <w:rFonts w:hint="default"/>
                <w:color w:val="auto"/>
                <w:highlight w:val="none"/>
                <w:lang w:eastAsia="zh-CN"/>
              </w:rPr>
              <w:t>四</w:t>
            </w:r>
            <w:r>
              <w:rPr>
                <w:rFonts w:hint="default"/>
                <w:color w:val="auto"/>
                <w:highlight w:val="none"/>
              </w:rPr>
              <w:t>）</w:t>
            </w:r>
            <w:r>
              <w:rPr>
                <w:rFonts w:hint="default"/>
                <w:b/>
                <w:bCs/>
                <w:strike w:val="0"/>
                <w:dstrike w:val="0"/>
                <w:color w:val="auto"/>
                <w:highlight w:val="none"/>
              </w:rPr>
              <w:t>供应商能够按照项目需要派出</w:t>
            </w:r>
            <w:r>
              <w:rPr>
                <w:rFonts w:hint="eastAsia"/>
                <w:b/>
                <w:bCs/>
                <w:strike w:val="0"/>
                <w:dstrike w:val="0"/>
                <w:color w:val="auto"/>
                <w:highlight w:val="none"/>
                <w:lang w:val="en-US" w:eastAsia="zh-CN"/>
              </w:rPr>
              <w:t>符合采购需求和满足项目工作质量要求的有</w:t>
            </w:r>
            <w:r>
              <w:rPr>
                <w:rFonts w:hint="default"/>
                <w:b/>
                <w:bCs/>
                <w:strike w:val="0"/>
                <w:dstrike w:val="0"/>
                <w:color w:val="auto"/>
                <w:highlight w:val="none"/>
              </w:rPr>
              <w:t>工作经验的专业人员</w:t>
            </w:r>
            <w:r>
              <w:rPr>
                <w:rFonts w:hint="eastAsia"/>
                <w:b/>
                <w:bCs/>
                <w:strike w:val="0"/>
                <w:dstrike w:val="0"/>
                <w:color w:val="auto"/>
                <w:highlight w:val="none"/>
                <w:lang w:eastAsia="zh-CN"/>
              </w:rPr>
              <w:t>，</w:t>
            </w:r>
            <w:r>
              <w:rPr>
                <w:rFonts w:hint="eastAsia"/>
                <w:b/>
                <w:bCs/>
                <w:strike w:val="0"/>
                <w:dstrike w:val="0"/>
                <w:color w:val="auto"/>
                <w:highlight w:val="none"/>
                <w:lang w:val="en-US" w:eastAsia="zh-CN"/>
              </w:rPr>
              <w:t>如果供应商成交后不按照响应文件的承诺提供工作人员的，视为供应商虚假应标或者违约</w:t>
            </w:r>
            <w:r>
              <w:rPr>
                <w:rFonts w:hint="default"/>
                <w:color w:val="auto"/>
                <w:highlight w:val="none"/>
              </w:rPr>
              <w:t>。</w:t>
            </w:r>
          </w:p>
          <w:p w14:paraId="4E2E181C">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rFonts w:hint="default"/>
                <w:color w:val="auto"/>
                <w:highlight w:val="none"/>
              </w:rPr>
            </w:pPr>
            <w:r>
              <w:rPr>
                <w:rFonts w:hint="eastAsia"/>
                <w:color w:val="auto"/>
                <w:highlight w:val="none"/>
                <w:lang w:eastAsia="zh-CN"/>
              </w:rPr>
              <w:t>（五）</w:t>
            </w:r>
            <w:r>
              <w:rPr>
                <w:rFonts w:hint="default"/>
                <w:color w:val="auto"/>
                <w:highlight w:val="none"/>
                <w:lang w:eastAsia="zh-CN"/>
              </w:rPr>
              <w:t>供应商</w:t>
            </w:r>
            <w:r>
              <w:rPr>
                <w:rFonts w:hint="default"/>
                <w:color w:val="auto"/>
                <w:highlight w:val="none"/>
              </w:rPr>
              <w:t>与审计项目或审计对象无利害关系；已接受被审计单位审计期间会计咨询相关服务的，应当</w:t>
            </w:r>
            <w:r>
              <w:rPr>
                <w:rFonts w:hint="eastAsia"/>
                <w:color w:val="auto"/>
                <w:highlight w:val="none"/>
                <w:lang w:eastAsia="zh-CN"/>
              </w:rPr>
              <w:t>主动</w:t>
            </w:r>
            <w:r>
              <w:rPr>
                <w:rFonts w:hint="default"/>
                <w:color w:val="auto"/>
                <w:highlight w:val="none"/>
              </w:rPr>
              <w:t>回避。</w:t>
            </w:r>
          </w:p>
          <w:p w14:paraId="61AF8038">
            <w:pPr>
              <w:keepNext w:val="0"/>
              <w:keepLines w:val="0"/>
              <w:pageBreakBefore w:val="0"/>
              <w:kinsoku/>
              <w:wordWrap/>
              <w:overflowPunct/>
              <w:topLinePunct w:val="0"/>
              <w:autoSpaceDE/>
              <w:autoSpaceDN/>
              <w:bidi w:val="0"/>
              <w:adjustRightInd/>
              <w:spacing w:afterAutospacing="0" w:line="360" w:lineRule="auto"/>
              <w:ind w:left="0" w:leftChars="0" w:firstLine="420" w:firstLineChars="200"/>
              <w:textAlignment w:val="auto"/>
              <w:rPr>
                <w:color w:val="auto"/>
                <w:highlight w:val="none"/>
              </w:rPr>
            </w:pPr>
            <w:r>
              <w:rPr>
                <w:rFonts w:hint="default"/>
                <w:color w:val="auto"/>
                <w:highlight w:val="none"/>
              </w:rPr>
              <w:t>（</w:t>
            </w:r>
            <w:r>
              <w:rPr>
                <w:rFonts w:hint="eastAsia"/>
                <w:color w:val="auto"/>
                <w:highlight w:val="none"/>
                <w:lang w:eastAsia="zh-CN"/>
              </w:rPr>
              <w:t>六</w:t>
            </w:r>
            <w:r>
              <w:rPr>
                <w:rFonts w:hint="default"/>
                <w:color w:val="auto"/>
                <w:highlight w:val="none"/>
              </w:rPr>
              <w:t>）</w:t>
            </w:r>
            <w:r>
              <w:rPr>
                <w:rFonts w:hint="eastAsia"/>
                <w:color w:val="auto"/>
                <w:highlight w:val="none"/>
                <w:lang w:eastAsia="zh-CN"/>
              </w:rPr>
              <w:t>工作质量要求：严格按照</w:t>
            </w:r>
            <w:r>
              <w:rPr>
                <w:rFonts w:hint="default"/>
                <w:color w:val="auto"/>
                <w:highlight w:val="none"/>
                <w:lang w:val="en-US" w:eastAsia="zh-CN"/>
              </w:rPr>
              <w:t>行业协会</w:t>
            </w:r>
            <w:r>
              <w:rPr>
                <w:rFonts w:hint="default"/>
                <w:color w:val="auto"/>
                <w:highlight w:val="none"/>
                <w:lang w:val="zh-CN" w:eastAsia="zh-CN"/>
              </w:rPr>
              <w:t>标准和</w:t>
            </w:r>
            <w:r>
              <w:rPr>
                <w:rFonts w:hint="eastAsia"/>
                <w:color w:val="auto"/>
                <w:highlight w:val="none"/>
                <w:lang w:val="en-US" w:eastAsia="zh-CN"/>
              </w:rPr>
              <w:t>中国内部审计准则，杜绝疏漏及错误。如合同期内服务费用结算前各级审计、巡视中发现问题，属于供应商未达到服务要求，每发现1个问题，供应商须向采购人支付年结</w:t>
            </w:r>
            <w:r>
              <w:rPr>
                <w:rFonts w:hint="eastAsia"/>
                <w:color w:val="auto"/>
                <w:highlight w:val="none"/>
                <w:lang w:eastAsia="zh-CN"/>
              </w:rPr>
              <w:t>算金额总价0.1%作为违约金，最高支付不超</w:t>
            </w:r>
            <w:r>
              <w:rPr>
                <w:rFonts w:hint="eastAsia"/>
                <w:color w:val="auto"/>
                <w:highlight w:val="none"/>
                <w:lang w:val="en-US" w:eastAsia="zh-CN"/>
              </w:rPr>
              <w:t>过每年</w:t>
            </w:r>
            <w:r>
              <w:rPr>
                <w:rFonts w:hint="eastAsia"/>
                <w:color w:val="auto"/>
                <w:highlight w:val="none"/>
                <w:lang w:eastAsia="zh-CN"/>
              </w:rPr>
              <w:t>预算</w:t>
            </w:r>
            <w:r>
              <w:rPr>
                <w:rFonts w:hint="eastAsia"/>
                <w:color w:val="auto"/>
                <w:highlight w:val="none"/>
                <w:lang w:val="en-US" w:eastAsia="zh-CN"/>
              </w:rPr>
              <w:t>35万元</w:t>
            </w:r>
            <w:r>
              <w:rPr>
                <w:rFonts w:hint="eastAsia"/>
                <w:color w:val="auto"/>
                <w:highlight w:val="none"/>
                <w:lang w:eastAsia="zh-CN"/>
              </w:rPr>
              <w:t>的</w:t>
            </w:r>
            <w:r>
              <w:rPr>
                <w:rFonts w:hint="eastAsia"/>
                <w:color w:val="auto"/>
                <w:highlight w:val="none"/>
                <w:lang w:val="en-US" w:eastAsia="zh-CN"/>
              </w:rPr>
              <w:t>5</w:t>
            </w:r>
            <w:r>
              <w:rPr>
                <w:rFonts w:hint="eastAsia"/>
                <w:color w:val="auto"/>
                <w:highlight w:val="none"/>
                <w:lang w:eastAsia="zh-CN"/>
              </w:rPr>
              <w:t>%。如合同结算款未支付，则从合同结算款中扣减相应违约金。</w:t>
            </w:r>
          </w:p>
        </w:tc>
      </w:tr>
      <w:tr w14:paraId="4CE9BC64">
        <w:tblPrEx>
          <w:tblCellMar>
            <w:top w:w="0" w:type="dxa"/>
            <w:left w:w="0" w:type="dxa"/>
            <w:bottom w:w="0" w:type="dxa"/>
            <w:right w:w="0" w:type="dxa"/>
          </w:tblCellMar>
        </w:tblPrEx>
        <w:trPr>
          <w:trHeight w:val="447" w:hRule="atLeast"/>
          <w:jc w:val="center"/>
        </w:trPr>
        <w:tc>
          <w:tcPr>
            <w:tcW w:w="9606" w:type="dxa"/>
            <w:gridSpan w:val="6"/>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14:paraId="3FE83403">
            <w:pPr>
              <w:keepNext w:val="0"/>
              <w:keepLines w:val="0"/>
              <w:pageBreakBefore w:val="0"/>
              <w:kinsoku/>
              <w:wordWrap/>
              <w:overflowPunct/>
              <w:topLinePunct w:val="0"/>
              <w:autoSpaceDE/>
              <w:autoSpaceDN/>
              <w:bidi w:val="0"/>
              <w:adjustRightInd/>
              <w:spacing w:afterAutospacing="0" w:line="360" w:lineRule="auto"/>
              <w:ind w:left="0" w:leftChars="0"/>
              <w:jc w:val="left"/>
              <w:textAlignment w:val="auto"/>
              <w:rPr>
                <w:rFonts w:hint="eastAsia" w:ascii="宋体" w:hAnsi="宋体" w:eastAsia="宋体" w:cs="宋体"/>
                <w:b/>
                <w:color w:val="auto"/>
                <w:szCs w:val="21"/>
                <w:highlight w:val="none"/>
                <w:lang w:eastAsia="zh-CN"/>
              </w:rPr>
            </w:pPr>
            <w:r>
              <w:rPr>
                <w:rFonts w:hint="eastAsia" w:ascii="宋体" w:hAnsi="宋体" w:cs="黑体"/>
                <w:color w:val="auto"/>
                <w:highlight w:val="none"/>
              </w:rPr>
              <w:t>▲二、</w:t>
            </w:r>
            <w:r>
              <w:rPr>
                <w:rFonts w:hint="eastAsia" w:ascii="宋体" w:hAnsi="宋体" w:cs="宋体"/>
                <w:b/>
                <w:color w:val="auto"/>
                <w:szCs w:val="21"/>
                <w:highlight w:val="none"/>
              </w:rPr>
              <w:t>商务</w:t>
            </w:r>
            <w:r>
              <w:rPr>
                <w:rFonts w:hint="eastAsia" w:ascii="宋体" w:hAnsi="宋体" w:cs="宋体"/>
                <w:b/>
                <w:color w:val="auto"/>
                <w:szCs w:val="21"/>
                <w:highlight w:val="none"/>
                <w:lang w:eastAsia="zh-CN"/>
              </w:rPr>
              <w:t>条款</w:t>
            </w:r>
          </w:p>
        </w:tc>
      </w:tr>
      <w:tr w14:paraId="072F49E5">
        <w:tblPrEx>
          <w:tblCellMar>
            <w:top w:w="0" w:type="dxa"/>
            <w:left w:w="0" w:type="dxa"/>
            <w:bottom w:w="0" w:type="dxa"/>
            <w:right w:w="0" w:type="dxa"/>
          </w:tblCellMar>
        </w:tblPrEx>
        <w:trPr>
          <w:jc w:val="center"/>
        </w:trPr>
        <w:tc>
          <w:tcPr>
            <w:tcW w:w="1875" w:type="dxa"/>
            <w:gridSpan w:val="2"/>
            <w:tcBorders>
              <w:top w:val="single" w:color="000000" w:sz="8" w:space="0"/>
              <w:left w:val="single" w:color="000000" w:sz="8" w:space="0"/>
              <w:bottom w:val="single" w:color="000000" w:sz="8" w:space="0"/>
              <w:right w:val="single" w:color="auto" w:sz="4" w:space="0"/>
            </w:tcBorders>
            <w:tcMar>
              <w:top w:w="0" w:type="dxa"/>
              <w:left w:w="108" w:type="dxa"/>
              <w:bottom w:w="0" w:type="dxa"/>
              <w:right w:w="108" w:type="dxa"/>
            </w:tcMar>
            <w:vAlign w:val="center"/>
          </w:tcPr>
          <w:p w14:paraId="06E3A367">
            <w:pPr>
              <w:keepNext w:val="0"/>
              <w:keepLines w:val="0"/>
              <w:pageBreakBefore w:val="0"/>
              <w:kinsoku/>
              <w:wordWrap/>
              <w:overflowPunct/>
              <w:topLinePunct w:val="0"/>
              <w:autoSpaceDE/>
              <w:autoSpaceDN/>
              <w:bidi w:val="0"/>
              <w:adjustRightInd/>
              <w:snapToGrid w:val="0"/>
              <w:spacing w:afterAutospacing="0" w:line="360" w:lineRule="auto"/>
              <w:ind w:left="0" w:leftChars="0"/>
              <w:jc w:val="center"/>
              <w:textAlignment w:val="auto"/>
              <w:rPr>
                <w:rFonts w:ascii="宋体" w:hAnsi="宋体" w:cs="宋体"/>
                <w:b/>
                <w:color w:val="auto"/>
                <w:szCs w:val="21"/>
                <w:highlight w:val="none"/>
              </w:rPr>
            </w:pPr>
            <w:r>
              <w:rPr>
                <w:rFonts w:hint="eastAsia" w:ascii="宋体" w:hAnsi="宋体"/>
                <w:b/>
                <w:color w:val="auto"/>
                <w:szCs w:val="21"/>
                <w:highlight w:val="none"/>
              </w:rPr>
              <w:t>合同签订期</w:t>
            </w:r>
          </w:p>
        </w:tc>
        <w:tc>
          <w:tcPr>
            <w:tcW w:w="7731" w:type="dxa"/>
            <w:gridSpan w:val="4"/>
            <w:tcBorders>
              <w:top w:val="single" w:color="000000" w:sz="8" w:space="0"/>
              <w:left w:val="single" w:color="auto" w:sz="4" w:space="0"/>
              <w:bottom w:val="single" w:color="000000" w:sz="8" w:space="0"/>
              <w:right w:val="single" w:color="000000" w:sz="8" w:space="0"/>
            </w:tcBorders>
            <w:vAlign w:val="center"/>
          </w:tcPr>
          <w:p w14:paraId="7166BBA4">
            <w:pPr>
              <w:keepNext w:val="0"/>
              <w:keepLines w:val="0"/>
              <w:pageBreakBefore w:val="0"/>
              <w:widowControl/>
              <w:kinsoku/>
              <w:wordWrap/>
              <w:overflowPunct/>
              <w:topLinePunct w:val="0"/>
              <w:autoSpaceDE/>
              <w:autoSpaceDN/>
              <w:bidi w:val="0"/>
              <w:adjustRightInd/>
              <w:spacing w:afterAutospacing="0" w:line="360" w:lineRule="auto"/>
              <w:ind w:left="0" w:leftChars="0"/>
              <w:jc w:val="left"/>
              <w:textAlignment w:val="auto"/>
              <w:rPr>
                <w:rFonts w:ascii="宋体" w:hAnsi="宋体" w:cs="宋体"/>
                <w:color w:val="auto"/>
                <w:szCs w:val="21"/>
                <w:highlight w:val="none"/>
              </w:rPr>
            </w:pPr>
            <w:r>
              <w:rPr>
                <w:rFonts w:hint="eastAsia" w:ascii="Times New Roman" w:hAnsi="Times New Roman" w:eastAsia="宋体" w:cs="Times New Roman"/>
                <w:color w:val="auto"/>
                <w:highlight w:val="none"/>
              </w:rPr>
              <w:t>自成交通知书发出之日起30日内签订采购合同。</w:t>
            </w:r>
          </w:p>
        </w:tc>
      </w:tr>
      <w:tr w14:paraId="671DA9AC">
        <w:tblPrEx>
          <w:tblCellMar>
            <w:top w:w="0" w:type="dxa"/>
            <w:left w:w="0" w:type="dxa"/>
            <w:bottom w:w="0" w:type="dxa"/>
            <w:right w:w="0" w:type="dxa"/>
          </w:tblCellMar>
        </w:tblPrEx>
        <w:trPr>
          <w:jc w:val="center"/>
        </w:trPr>
        <w:tc>
          <w:tcPr>
            <w:tcW w:w="1875" w:type="dxa"/>
            <w:gridSpan w:val="2"/>
            <w:tcBorders>
              <w:top w:val="single" w:color="000000" w:sz="8" w:space="0"/>
              <w:left w:val="single" w:color="000000" w:sz="8" w:space="0"/>
              <w:bottom w:val="single" w:color="000000" w:sz="8" w:space="0"/>
              <w:right w:val="single" w:color="auto" w:sz="4" w:space="0"/>
            </w:tcBorders>
            <w:tcMar>
              <w:top w:w="0" w:type="dxa"/>
              <w:left w:w="108" w:type="dxa"/>
              <w:bottom w:w="0" w:type="dxa"/>
              <w:right w:w="108" w:type="dxa"/>
            </w:tcMar>
            <w:vAlign w:val="center"/>
          </w:tcPr>
          <w:p w14:paraId="35807806">
            <w:pPr>
              <w:keepNext w:val="0"/>
              <w:keepLines w:val="0"/>
              <w:pageBreakBefore w:val="0"/>
              <w:kinsoku/>
              <w:wordWrap/>
              <w:overflowPunct/>
              <w:topLinePunct w:val="0"/>
              <w:autoSpaceDE/>
              <w:autoSpaceDN/>
              <w:bidi w:val="0"/>
              <w:adjustRightInd/>
              <w:snapToGrid w:val="0"/>
              <w:spacing w:afterAutospacing="0" w:line="360" w:lineRule="auto"/>
              <w:ind w:left="0" w:leftChars="0"/>
              <w:jc w:val="center"/>
              <w:textAlignment w:val="auto"/>
              <w:rPr>
                <w:rFonts w:ascii="宋体" w:hAnsi="宋体" w:cs="宋体"/>
                <w:b/>
                <w:color w:val="auto"/>
                <w:szCs w:val="21"/>
                <w:highlight w:val="none"/>
              </w:rPr>
            </w:pPr>
            <w:r>
              <w:rPr>
                <w:rFonts w:hint="eastAsia" w:ascii="宋体" w:hAnsi="宋体"/>
                <w:b/>
                <w:color w:val="auto"/>
                <w:szCs w:val="21"/>
                <w:highlight w:val="none"/>
              </w:rPr>
              <w:t>服务期</w:t>
            </w:r>
          </w:p>
        </w:tc>
        <w:tc>
          <w:tcPr>
            <w:tcW w:w="7731" w:type="dxa"/>
            <w:gridSpan w:val="4"/>
            <w:tcBorders>
              <w:top w:val="single" w:color="000000" w:sz="8" w:space="0"/>
              <w:left w:val="single" w:color="auto" w:sz="4" w:space="0"/>
              <w:bottom w:val="single" w:color="000000" w:sz="8" w:space="0"/>
              <w:right w:val="single" w:color="000000" w:sz="8" w:space="0"/>
            </w:tcBorders>
            <w:vAlign w:val="center"/>
          </w:tcPr>
          <w:p w14:paraId="0EDD0350">
            <w:pPr>
              <w:pStyle w:val="40"/>
              <w:keepNext w:val="0"/>
              <w:keepLines w:val="0"/>
              <w:pageBreakBefore w:val="0"/>
              <w:kinsoku/>
              <w:wordWrap/>
              <w:overflowPunct/>
              <w:topLinePunct w:val="0"/>
              <w:autoSpaceDE/>
              <w:autoSpaceDN/>
              <w:bidi w:val="0"/>
              <w:adjustRightInd/>
              <w:spacing w:afterAutospacing="0" w:line="360" w:lineRule="auto"/>
              <w:ind w:left="0" w:leftChars="0" w:firstLine="0" w:firstLineChars="0"/>
              <w:jc w:val="left"/>
              <w:textAlignment w:val="auto"/>
              <w:rPr>
                <w:rFonts w:ascii="宋体" w:hAnsi="宋体" w:cs="宋体"/>
                <w:color w:val="auto"/>
                <w:szCs w:val="21"/>
                <w:highlight w:val="none"/>
              </w:rPr>
            </w:pPr>
            <w:r>
              <w:rPr>
                <w:rFonts w:hint="eastAsia" w:ascii="宋体" w:hAnsi="宋体" w:cs="宋体"/>
                <w:color w:val="auto"/>
                <w:szCs w:val="21"/>
                <w:highlight w:val="none"/>
                <w:lang w:eastAsia="zh-CN"/>
              </w:rPr>
              <w:t>自合同签订之日起2年</w:t>
            </w:r>
            <w:r>
              <w:rPr>
                <w:rFonts w:hint="eastAsia" w:ascii="宋体" w:hAnsi="宋体" w:cs="宋体"/>
                <w:color w:val="auto"/>
                <w:szCs w:val="21"/>
                <w:highlight w:val="none"/>
              </w:rPr>
              <w:t>。</w:t>
            </w:r>
          </w:p>
        </w:tc>
      </w:tr>
      <w:tr w14:paraId="1D455767">
        <w:tblPrEx>
          <w:tblCellMar>
            <w:top w:w="0" w:type="dxa"/>
            <w:left w:w="0" w:type="dxa"/>
            <w:bottom w:w="0" w:type="dxa"/>
            <w:right w:w="0" w:type="dxa"/>
          </w:tblCellMar>
        </w:tblPrEx>
        <w:trPr>
          <w:jc w:val="center"/>
        </w:trPr>
        <w:tc>
          <w:tcPr>
            <w:tcW w:w="1875" w:type="dxa"/>
            <w:gridSpan w:val="2"/>
            <w:tcBorders>
              <w:top w:val="single" w:color="000000" w:sz="8" w:space="0"/>
              <w:left w:val="single" w:color="000000" w:sz="8" w:space="0"/>
              <w:bottom w:val="single" w:color="000000" w:sz="8" w:space="0"/>
              <w:right w:val="single" w:color="auto" w:sz="4" w:space="0"/>
            </w:tcBorders>
            <w:tcMar>
              <w:top w:w="0" w:type="dxa"/>
              <w:left w:w="108" w:type="dxa"/>
              <w:bottom w:w="0" w:type="dxa"/>
              <w:right w:w="108" w:type="dxa"/>
            </w:tcMar>
            <w:vAlign w:val="center"/>
          </w:tcPr>
          <w:p w14:paraId="641E2A2A">
            <w:pPr>
              <w:keepNext w:val="0"/>
              <w:keepLines w:val="0"/>
              <w:pageBreakBefore w:val="0"/>
              <w:kinsoku/>
              <w:wordWrap/>
              <w:overflowPunct/>
              <w:topLinePunct w:val="0"/>
              <w:autoSpaceDE/>
              <w:autoSpaceDN/>
              <w:bidi w:val="0"/>
              <w:adjustRightInd/>
              <w:snapToGrid w:val="0"/>
              <w:spacing w:afterAutospacing="0" w:line="360" w:lineRule="auto"/>
              <w:ind w:left="0" w:leftChars="0"/>
              <w:jc w:val="center"/>
              <w:textAlignment w:val="auto"/>
              <w:rPr>
                <w:rFonts w:ascii="宋体" w:hAnsi="宋体" w:cs="宋体"/>
                <w:b/>
                <w:color w:val="auto"/>
                <w:szCs w:val="21"/>
                <w:highlight w:val="none"/>
              </w:rPr>
            </w:pPr>
            <w:r>
              <w:rPr>
                <w:rFonts w:hint="eastAsia" w:ascii="宋体" w:hAnsi="宋体"/>
                <w:b/>
                <w:color w:val="auto"/>
                <w:szCs w:val="21"/>
                <w:highlight w:val="none"/>
              </w:rPr>
              <w:t>服务地点</w:t>
            </w:r>
          </w:p>
        </w:tc>
        <w:tc>
          <w:tcPr>
            <w:tcW w:w="7731" w:type="dxa"/>
            <w:gridSpan w:val="4"/>
            <w:tcBorders>
              <w:top w:val="single" w:color="000000" w:sz="8" w:space="0"/>
              <w:left w:val="single" w:color="auto" w:sz="4" w:space="0"/>
              <w:bottom w:val="single" w:color="000000" w:sz="8" w:space="0"/>
              <w:right w:val="single" w:color="000000" w:sz="8" w:space="0"/>
            </w:tcBorders>
            <w:vAlign w:val="center"/>
          </w:tcPr>
          <w:p w14:paraId="23EB0DAA">
            <w:pPr>
              <w:keepNext w:val="0"/>
              <w:keepLines w:val="0"/>
              <w:pageBreakBefore w:val="0"/>
              <w:widowControl/>
              <w:kinsoku/>
              <w:wordWrap/>
              <w:overflowPunct/>
              <w:topLinePunct w:val="0"/>
              <w:autoSpaceDE/>
              <w:autoSpaceDN/>
              <w:bidi w:val="0"/>
              <w:adjustRightInd/>
              <w:spacing w:afterAutospacing="0" w:line="360" w:lineRule="auto"/>
              <w:ind w:left="0" w:leftChars="0"/>
              <w:jc w:val="left"/>
              <w:textAlignment w:val="auto"/>
              <w:rPr>
                <w:rFonts w:hint="eastAsia" w:ascii="宋体" w:hAnsi="宋体" w:eastAsia="宋体" w:cs="宋体"/>
                <w:color w:val="auto"/>
                <w:szCs w:val="21"/>
                <w:highlight w:val="none"/>
                <w:lang w:eastAsia="zh-CN"/>
              </w:rPr>
            </w:pPr>
            <w:r>
              <w:rPr>
                <w:rFonts w:hint="default"/>
                <w:color w:val="auto"/>
                <w:highlight w:val="none"/>
              </w:rPr>
              <w:t>广西出入境边防检查总站</w:t>
            </w:r>
            <w:r>
              <w:rPr>
                <w:rFonts w:hint="default"/>
                <w:color w:val="auto"/>
                <w:highlight w:val="none"/>
                <w:lang w:eastAsia="zh-CN"/>
              </w:rPr>
              <w:t>所属</w:t>
            </w:r>
            <w:r>
              <w:rPr>
                <w:rFonts w:hint="default"/>
                <w:color w:val="auto"/>
                <w:highlight w:val="none"/>
                <w:lang w:val="en-US" w:eastAsia="zh-CN"/>
              </w:rPr>
              <w:t>站级单位，以实际安排为准</w:t>
            </w:r>
            <w:r>
              <w:rPr>
                <w:rFonts w:hint="eastAsia"/>
                <w:color w:val="auto"/>
                <w:highlight w:val="none"/>
              </w:rPr>
              <w:t>。</w:t>
            </w:r>
          </w:p>
        </w:tc>
      </w:tr>
      <w:tr w14:paraId="22FE6C5C">
        <w:tblPrEx>
          <w:tblCellMar>
            <w:top w:w="0" w:type="dxa"/>
            <w:left w:w="0" w:type="dxa"/>
            <w:bottom w:w="0" w:type="dxa"/>
            <w:right w:w="0" w:type="dxa"/>
          </w:tblCellMar>
        </w:tblPrEx>
        <w:trPr>
          <w:jc w:val="center"/>
        </w:trPr>
        <w:tc>
          <w:tcPr>
            <w:tcW w:w="1875" w:type="dxa"/>
            <w:gridSpan w:val="2"/>
            <w:tcBorders>
              <w:top w:val="single" w:color="000000" w:sz="8" w:space="0"/>
              <w:left w:val="single" w:color="000000" w:sz="8" w:space="0"/>
              <w:bottom w:val="single" w:color="000000" w:sz="8" w:space="0"/>
              <w:right w:val="single" w:color="auto" w:sz="4" w:space="0"/>
            </w:tcBorders>
            <w:tcMar>
              <w:top w:w="0" w:type="dxa"/>
              <w:left w:w="108" w:type="dxa"/>
              <w:bottom w:w="0" w:type="dxa"/>
              <w:right w:w="108" w:type="dxa"/>
            </w:tcMar>
            <w:vAlign w:val="center"/>
          </w:tcPr>
          <w:p w14:paraId="5A3641F6">
            <w:pPr>
              <w:keepNext w:val="0"/>
              <w:keepLines w:val="0"/>
              <w:pageBreakBefore w:val="0"/>
              <w:kinsoku/>
              <w:wordWrap/>
              <w:overflowPunct/>
              <w:topLinePunct w:val="0"/>
              <w:autoSpaceDE/>
              <w:autoSpaceDN/>
              <w:bidi w:val="0"/>
              <w:adjustRightInd/>
              <w:snapToGrid w:val="0"/>
              <w:spacing w:afterAutospacing="0" w:line="360" w:lineRule="auto"/>
              <w:ind w:left="0" w:leftChars="0"/>
              <w:jc w:val="center"/>
              <w:textAlignment w:val="auto"/>
              <w:rPr>
                <w:rFonts w:ascii="宋体" w:hAnsi="宋体" w:cs="宋体"/>
                <w:b/>
                <w:color w:val="auto"/>
                <w:szCs w:val="21"/>
                <w:highlight w:val="none"/>
              </w:rPr>
            </w:pPr>
            <w:r>
              <w:rPr>
                <w:rFonts w:hint="eastAsia" w:ascii="宋体" w:hAnsi="宋体"/>
                <w:b/>
                <w:color w:val="auto"/>
                <w:szCs w:val="21"/>
                <w:highlight w:val="none"/>
              </w:rPr>
              <w:t>付款方式</w:t>
            </w:r>
          </w:p>
        </w:tc>
        <w:tc>
          <w:tcPr>
            <w:tcW w:w="7731" w:type="dxa"/>
            <w:gridSpan w:val="4"/>
            <w:tcBorders>
              <w:top w:val="single" w:color="000000" w:sz="8" w:space="0"/>
              <w:left w:val="single" w:color="auto" w:sz="4" w:space="0"/>
              <w:bottom w:val="single" w:color="000000" w:sz="8" w:space="0"/>
              <w:right w:val="single" w:color="000000" w:sz="8" w:space="0"/>
            </w:tcBorders>
            <w:vAlign w:val="center"/>
          </w:tcPr>
          <w:p w14:paraId="6583596B">
            <w:pPr>
              <w:keepNext w:val="0"/>
              <w:keepLines w:val="0"/>
              <w:pageBreakBefore w:val="0"/>
              <w:widowControl/>
              <w:kinsoku/>
              <w:wordWrap/>
              <w:overflowPunct/>
              <w:topLinePunct w:val="0"/>
              <w:autoSpaceDE/>
              <w:autoSpaceDN/>
              <w:bidi w:val="0"/>
              <w:adjustRightInd/>
              <w:spacing w:afterAutospacing="0" w:line="360" w:lineRule="auto"/>
              <w:ind w:left="0" w:leftChars="0"/>
              <w:jc w:val="left"/>
              <w:textAlignment w:val="auto"/>
              <w:rPr>
                <w:rFonts w:hint="default" w:ascii="Times New Roman" w:hAnsi="Times New Roman" w:eastAsia="宋体" w:cs="Times New Roman"/>
                <w:color w:val="auto"/>
                <w:highlight w:val="none"/>
                <w:lang w:val="en-US" w:eastAsia="zh-CN"/>
              </w:rPr>
            </w:pPr>
            <w:r>
              <w:rPr>
                <w:rFonts w:hint="eastAsia" w:cs="Times New Roman"/>
                <w:color w:val="auto"/>
                <w:highlight w:val="none"/>
                <w:lang w:val="en-US" w:eastAsia="zh-CN"/>
              </w:rPr>
              <w:t>1.</w:t>
            </w:r>
            <w:r>
              <w:rPr>
                <w:rFonts w:hint="default" w:ascii="Times New Roman" w:hAnsi="Times New Roman" w:eastAsia="宋体" w:cs="Times New Roman"/>
                <w:color w:val="auto"/>
                <w:highlight w:val="none"/>
                <w:lang w:eastAsia="zh-CN"/>
              </w:rPr>
              <w:t>根据派出的人员类型人数、天数，结合成交供应商承诺的合同单价</w:t>
            </w:r>
            <w:r>
              <w:rPr>
                <w:rFonts w:hint="eastAsia" w:ascii="Times New Roman" w:hAnsi="Times New Roman" w:eastAsia="宋体" w:cs="Times New Roman"/>
                <w:color w:val="auto"/>
                <w:highlight w:val="none"/>
                <w:lang w:eastAsia="zh-CN"/>
              </w:rPr>
              <w:t>据实</w:t>
            </w:r>
            <w:r>
              <w:rPr>
                <w:rFonts w:hint="default" w:ascii="Times New Roman" w:hAnsi="Times New Roman" w:eastAsia="宋体" w:cs="Times New Roman"/>
                <w:color w:val="auto"/>
                <w:highlight w:val="none"/>
                <w:lang w:eastAsia="zh-CN"/>
              </w:rPr>
              <w:t>结算。</w:t>
            </w:r>
            <w:r>
              <w:rPr>
                <w:rFonts w:hint="default" w:ascii="Times New Roman" w:hAnsi="Times New Roman" w:eastAsia="宋体" w:cs="Times New Roman"/>
                <w:color w:val="auto"/>
                <w:highlight w:val="none"/>
                <w:lang w:val="en-US" w:eastAsia="zh-CN"/>
              </w:rPr>
              <w:t>供应商</w:t>
            </w:r>
            <w:r>
              <w:rPr>
                <w:rFonts w:hint="eastAsia" w:ascii="Times New Roman" w:hAnsi="Times New Roman" w:eastAsia="宋体" w:cs="Times New Roman"/>
                <w:color w:val="auto"/>
                <w:highlight w:val="none"/>
                <w:lang w:val="en-US" w:eastAsia="zh-CN"/>
              </w:rPr>
              <w:t>每年</w:t>
            </w:r>
            <w:r>
              <w:rPr>
                <w:rFonts w:hint="default" w:ascii="Times New Roman" w:hAnsi="Times New Roman" w:eastAsia="宋体" w:cs="Times New Roman"/>
                <w:color w:val="auto"/>
                <w:highlight w:val="none"/>
                <w:lang w:val="en-US" w:eastAsia="zh-CN"/>
              </w:rPr>
              <w:t>完成协审任务且符合行业协会</w:t>
            </w:r>
            <w:r>
              <w:rPr>
                <w:rFonts w:hint="default" w:ascii="Times New Roman" w:hAnsi="Times New Roman" w:eastAsia="宋体" w:cs="Times New Roman"/>
                <w:color w:val="auto"/>
                <w:highlight w:val="none"/>
                <w:lang w:val="zh-CN" w:eastAsia="zh-CN"/>
              </w:rPr>
              <w:t>标准和内部审计准则</w:t>
            </w:r>
            <w:r>
              <w:rPr>
                <w:rFonts w:hint="default" w:ascii="Times New Roman" w:hAnsi="Times New Roman" w:eastAsia="宋体" w:cs="Times New Roman"/>
                <w:color w:val="auto"/>
                <w:highlight w:val="none"/>
                <w:lang w:val="en-US" w:eastAsia="zh-CN"/>
              </w:rPr>
              <w:t>要求经验收合格，并出具付款申请及等额</w:t>
            </w:r>
            <w:r>
              <w:rPr>
                <w:rFonts w:hint="eastAsia" w:cs="Times New Roman"/>
                <w:color w:val="auto"/>
                <w:highlight w:val="none"/>
                <w:lang w:val="en-US" w:eastAsia="zh-CN"/>
              </w:rPr>
              <w:t>合法</w:t>
            </w:r>
            <w:r>
              <w:rPr>
                <w:rFonts w:hint="default" w:ascii="Times New Roman" w:hAnsi="Times New Roman" w:eastAsia="宋体" w:cs="Times New Roman"/>
                <w:color w:val="auto"/>
                <w:highlight w:val="none"/>
                <w:lang w:val="en-US" w:eastAsia="zh-CN"/>
              </w:rPr>
              <w:t>发票后，</w:t>
            </w:r>
            <w:r>
              <w:rPr>
                <w:rFonts w:hint="eastAsia" w:ascii="Times New Roman" w:hAnsi="Times New Roman" w:eastAsia="宋体" w:cs="Times New Roman"/>
                <w:color w:val="auto"/>
                <w:highlight w:val="none"/>
                <w:lang w:val="en-US" w:eastAsia="zh-CN"/>
              </w:rPr>
              <w:t>采购人</w:t>
            </w:r>
            <w:r>
              <w:rPr>
                <w:rFonts w:hint="default" w:ascii="Times New Roman" w:hAnsi="Times New Roman" w:eastAsia="宋体" w:cs="Times New Roman"/>
                <w:color w:val="auto"/>
                <w:highlight w:val="none"/>
                <w:lang w:val="en-US" w:eastAsia="zh-CN"/>
              </w:rPr>
              <w:t>在收到付款申请材料后30日内支付</w:t>
            </w:r>
            <w:r>
              <w:rPr>
                <w:rFonts w:hint="eastAsia" w:cs="Times New Roman"/>
                <w:color w:val="auto"/>
                <w:highlight w:val="none"/>
                <w:lang w:val="en-US" w:eastAsia="zh-CN"/>
              </w:rPr>
              <w:t>委托服务</w:t>
            </w:r>
            <w:r>
              <w:rPr>
                <w:rFonts w:hint="default" w:ascii="Times New Roman" w:hAnsi="Times New Roman" w:eastAsia="宋体" w:cs="Times New Roman"/>
                <w:color w:val="auto"/>
                <w:highlight w:val="none"/>
                <w:lang w:val="en-US" w:eastAsia="zh-CN"/>
              </w:rPr>
              <w:t>费。</w:t>
            </w:r>
          </w:p>
          <w:p w14:paraId="622398C4">
            <w:pPr>
              <w:keepNext w:val="0"/>
              <w:keepLines w:val="0"/>
              <w:pageBreakBefore w:val="0"/>
              <w:widowControl/>
              <w:kinsoku/>
              <w:wordWrap/>
              <w:overflowPunct/>
              <w:topLinePunct w:val="0"/>
              <w:autoSpaceDE/>
              <w:autoSpaceDN/>
              <w:bidi w:val="0"/>
              <w:adjustRightInd/>
              <w:spacing w:afterAutospacing="0" w:line="360" w:lineRule="auto"/>
              <w:ind w:left="0" w:leftChars="0"/>
              <w:jc w:val="left"/>
              <w:textAlignment w:val="auto"/>
              <w:rPr>
                <w:rFonts w:hint="default" w:ascii="Times New Roman" w:hAnsi="Times New Roman" w:eastAsia="宋体" w:cs="Times New Roman"/>
                <w:color w:val="auto"/>
                <w:highlight w:val="none"/>
                <w:lang w:eastAsia="zh-CN"/>
              </w:rPr>
            </w:pPr>
            <w:r>
              <w:rPr>
                <w:rFonts w:hint="eastAsia" w:cs="Times New Roman"/>
                <w:color w:val="auto"/>
                <w:highlight w:val="none"/>
                <w:lang w:val="en-US" w:eastAsia="zh-CN"/>
              </w:rPr>
              <w:t>2.</w:t>
            </w:r>
            <w:r>
              <w:rPr>
                <w:rFonts w:hint="eastAsia" w:ascii="Times New Roman" w:hAnsi="Times New Roman" w:eastAsia="宋体" w:cs="Times New Roman"/>
                <w:color w:val="auto"/>
                <w:highlight w:val="none"/>
                <w:lang w:val="en-US" w:eastAsia="zh-CN"/>
              </w:rPr>
              <w:t>供应商提交工作成果如验收不合格，须修改完善，否则验收不通过，其修改、完善工作成果耗用的时间不认为是工作时间，不计算服务费用。</w:t>
            </w:r>
          </w:p>
        </w:tc>
      </w:tr>
      <w:tr w14:paraId="36E322E8">
        <w:tblPrEx>
          <w:tblCellMar>
            <w:top w:w="0" w:type="dxa"/>
            <w:left w:w="0" w:type="dxa"/>
            <w:bottom w:w="0" w:type="dxa"/>
            <w:right w:w="0" w:type="dxa"/>
          </w:tblCellMar>
        </w:tblPrEx>
        <w:trPr>
          <w:jc w:val="center"/>
        </w:trPr>
        <w:tc>
          <w:tcPr>
            <w:tcW w:w="1875" w:type="dxa"/>
            <w:gridSpan w:val="2"/>
            <w:tcBorders>
              <w:top w:val="single" w:color="000000" w:sz="8" w:space="0"/>
              <w:left w:val="single" w:color="000000" w:sz="8" w:space="0"/>
              <w:bottom w:val="single" w:color="000000" w:sz="8" w:space="0"/>
              <w:right w:val="single" w:color="auto" w:sz="4" w:space="0"/>
            </w:tcBorders>
            <w:tcMar>
              <w:top w:w="0" w:type="dxa"/>
              <w:left w:w="108" w:type="dxa"/>
              <w:bottom w:w="0" w:type="dxa"/>
              <w:right w:w="108" w:type="dxa"/>
            </w:tcMar>
            <w:vAlign w:val="center"/>
          </w:tcPr>
          <w:p w14:paraId="6EA87DFA">
            <w:pPr>
              <w:keepNext w:val="0"/>
              <w:keepLines w:val="0"/>
              <w:pageBreakBefore w:val="0"/>
              <w:kinsoku/>
              <w:wordWrap/>
              <w:overflowPunct/>
              <w:topLinePunct w:val="0"/>
              <w:autoSpaceDE/>
              <w:autoSpaceDN/>
              <w:bidi w:val="0"/>
              <w:adjustRightInd/>
              <w:snapToGrid w:val="0"/>
              <w:spacing w:afterAutospacing="0" w:line="360" w:lineRule="auto"/>
              <w:ind w:left="0" w:leftChars="0"/>
              <w:jc w:val="center"/>
              <w:textAlignment w:val="auto"/>
              <w:rPr>
                <w:rFonts w:ascii="宋体" w:hAnsi="宋体"/>
                <w:b/>
                <w:color w:val="auto"/>
                <w:szCs w:val="21"/>
                <w:highlight w:val="none"/>
              </w:rPr>
            </w:pPr>
            <w:r>
              <w:rPr>
                <w:rFonts w:hint="eastAsia" w:ascii="宋体" w:hAnsi="宋体"/>
                <w:b/>
                <w:color w:val="auto"/>
                <w:szCs w:val="21"/>
                <w:highlight w:val="none"/>
              </w:rPr>
              <w:t>质量保证要求</w:t>
            </w:r>
          </w:p>
        </w:tc>
        <w:tc>
          <w:tcPr>
            <w:tcW w:w="7731" w:type="dxa"/>
            <w:gridSpan w:val="4"/>
            <w:tcBorders>
              <w:top w:val="single" w:color="000000" w:sz="8" w:space="0"/>
              <w:left w:val="single" w:color="auto" w:sz="4" w:space="0"/>
              <w:bottom w:val="single" w:color="000000" w:sz="8" w:space="0"/>
              <w:right w:val="single" w:color="000000" w:sz="8" w:space="0"/>
            </w:tcBorders>
            <w:vAlign w:val="center"/>
          </w:tcPr>
          <w:p w14:paraId="6577E5B2">
            <w:pPr>
              <w:keepNext w:val="0"/>
              <w:keepLines w:val="0"/>
              <w:pageBreakBefore w:val="0"/>
              <w:kinsoku/>
              <w:wordWrap/>
              <w:overflowPunct/>
              <w:topLinePunct w:val="0"/>
              <w:autoSpaceDE/>
              <w:autoSpaceDN/>
              <w:bidi w:val="0"/>
              <w:adjustRightInd/>
              <w:spacing w:afterAutospacing="0" w:line="360" w:lineRule="auto"/>
              <w:ind w:left="0" w:leftChars="0"/>
              <w:textAlignment w:val="auto"/>
              <w:rPr>
                <w:color w:val="auto"/>
                <w:highlight w:val="none"/>
              </w:rPr>
            </w:pPr>
            <w:r>
              <w:rPr>
                <w:rFonts w:hint="eastAsia"/>
                <w:color w:val="auto"/>
                <w:highlight w:val="none"/>
              </w:rPr>
              <w:t>1、供应商出现以下情形之一的，采购人有权即时解除合同，不再支付出现下述情形审计项目的审计费，造成采购人损失的供应商同时承担相应的经济责任和法律责任：</w:t>
            </w:r>
          </w:p>
          <w:p w14:paraId="31D299B1">
            <w:pPr>
              <w:keepNext w:val="0"/>
              <w:keepLines w:val="0"/>
              <w:pageBreakBefore w:val="0"/>
              <w:kinsoku/>
              <w:wordWrap/>
              <w:overflowPunct/>
              <w:topLinePunct w:val="0"/>
              <w:autoSpaceDE/>
              <w:autoSpaceDN/>
              <w:bidi w:val="0"/>
              <w:adjustRightInd/>
              <w:spacing w:afterAutospacing="0" w:line="360" w:lineRule="auto"/>
              <w:ind w:left="0" w:leftChars="0"/>
              <w:textAlignment w:val="auto"/>
              <w:rPr>
                <w:color w:val="auto"/>
                <w:highlight w:val="none"/>
              </w:rPr>
            </w:pPr>
            <w:r>
              <w:rPr>
                <w:rFonts w:hint="eastAsia"/>
                <w:color w:val="auto"/>
                <w:highlight w:val="none"/>
              </w:rPr>
              <w:t>（1）违反审计廉政纪律的；</w:t>
            </w:r>
          </w:p>
          <w:p w14:paraId="7EEC1DE0">
            <w:pPr>
              <w:keepNext w:val="0"/>
              <w:keepLines w:val="0"/>
              <w:pageBreakBefore w:val="0"/>
              <w:kinsoku/>
              <w:wordWrap/>
              <w:overflowPunct/>
              <w:topLinePunct w:val="0"/>
              <w:autoSpaceDE/>
              <w:autoSpaceDN/>
              <w:bidi w:val="0"/>
              <w:adjustRightInd/>
              <w:spacing w:afterAutospacing="0" w:line="360" w:lineRule="auto"/>
              <w:ind w:left="0" w:leftChars="0"/>
              <w:textAlignment w:val="auto"/>
              <w:rPr>
                <w:color w:val="auto"/>
                <w:highlight w:val="none"/>
              </w:rPr>
            </w:pPr>
            <w:r>
              <w:rPr>
                <w:rFonts w:hint="eastAsia"/>
                <w:color w:val="auto"/>
                <w:highlight w:val="none"/>
              </w:rPr>
              <w:t>（</w:t>
            </w:r>
            <w:r>
              <w:rPr>
                <w:rFonts w:hint="eastAsia"/>
                <w:color w:val="auto"/>
                <w:highlight w:val="none"/>
                <w:lang w:val="en-US" w:eastAsia="zh-CN"/>
              </w:rPr>
              <w:t>2</w:t>
            </w:r>
            <w:r>
              <w:rPr>
                <w:rFonts w:hint="eastAsia"/>
                <w:color w:val="auto"/>
                <w:highlight w:val="none"/>
              </w:rPr>
              <w:t>）未履行合同约定的义务的；</w:t>
            </w:r>
          </w:p>
          <w:p w14:paraId="539B1872">
            <w:pPr>
              <w:keepNext w:val="0"/>
              <w:keepLines w:val="0"/>
              <w:pageBreakBefore w:val="0"/>
              <w:kinsoku/>
              <w:wordWrap/>
              <w:overflowPunct/>
              <w:topLinePunct w:val="0"/>
              <w:autoSpaceDE/>
              <w:autoSpaceDN/>
              <w:bidi w:val="0"/>
              <w:adjustRightInd/>
              <w:spacing w:afterAutospacing="0" w:line="360" w:lineRule="auto"/>
              <w:ind w:left="0" w:leftChars="0"/>
              <w:textAlignment w:val="auto"/>
              <w:rPr>
                <w:color w:val="auto"/>
                <w:highlight w:val="none"/>
              </w:rPr>
            </w:pPr>
            <w:r>
              <w:rPr>
                <w:rFonts w:hint="eastAsia"/>
                <w:color w:val="auto"/>
                <w:highlight w:val="none"/>
              </w:rPr>
              <w:t>（</w:t>
            </w:r>
            <w:r>
              <w:rPr>
                <w:rFonts w:hint="eastAsia"/>
                <w:color w:val="auto"/>
                <w:highlight w:val="none"/>
                <w:lang w:val="en-US" w:eastAsia="zh-CN"/>
              </w:rPr>
              <w:t>3</w:t>
            </w:r>
            <w:r>
              <w:rPr>
                <w:rFonts w:hint="eastAsia"/>
                <w:color w:val="auto"/>
                <w:highlight w:val="none"/>
              </w:rPr>
              <w:t>）实际审计工作能力差，难以胜任工作或未在时限内完成审计任务的；</w:t>
            </w:r>
          </w:p>
          <w:p w14:paraId="0A9EAC9E">
            <w:pPr>
              <w:keepNext w:val="0"/>
              <w:keepLines w:val="0"/>
              <w:pageBreakBefore w:val="0"/>
              <w:kinsoku/>
              <w:wordWrap/>
              <w:overflowPunct/>
              <w:topLinePunct w:val="0"/>
              <w:autoSpaceDE/>
              <w:autoSpaceDN/>
              <w:bidi w:val="0"/>
              <w:adjustRightInd/>
              <w:spacing w:afterAutospacing="0" w:line="360" w:lineRule="auto"/>
              <w:ind w:left="0" w:leftChars="0"/>
              <w:textAlignment w:val="auto"/>
              <w:rPr>
                <w:color w:val="auto"/>
                <w:highlight w:val="none"/>
              </w:rPr>
            </w:pPr>
            <w:r>
              <w:rPr>
                <w:rFonts w:hint="eastAsia"/>
                <w:color w:val="auto"/>
                <w:highlight w:val="none"/>
              </w:rPr>
              <w:t>（</w:t>
            </w:r>
            <w:r>
              <w:rPr>
                <w:rFonts w:hint="eastAsia"/>
                <w:color w:val="auto"/>
                <w:highlight w:val="none"/>
                <w:lang w:val="en-US" w:eastAsia="zh-CN"/>
              </w:rPr>
              <w:t>4</w:t>
            </w:r>
            <w:r>
              <w:rPr>
                <w:rFonts w:hint="eastAsia"/>
                <w:color w:val="auto"/>
                <w:highlight w:val="none"/>
              </w:rPr>
              <w:t>）咨询服务态度和服务意识不好的；</w:t>
            </w:r>
          </w:p>
          <w:p w14:paraId="610440B4">
            <w:pPr>
              <w:keepNext w:val="0"/>
              <w:keepLines w:val="0"/>
              <w:pageBreakBefore w:val="0"/>
              <w:kinsoku/>
              <w:wordWrap/>
              <w:overflowPunct/>
              <w:topLinePunct w:val="0"/>
              <w:autoSpaceDE/>
              <w:autoSpaceDN/>
              <w:bidi w:val="0"/>
              <w:adjustRightInd/>
              <w:spacing w:afterAutospacing="0" w:line="360" w:lineRule="auto"/>
              <w:ind w:left="0" w:leftChars="0"/>
              <w:textAlignment w:val="auto"/>
              <w:rPr>
                <w:color w:val="auto"/>
                <w:highlight w:val="none"/>
              </w:rPr>
            </w:pPr>
            <w:r>
              <w:rPr>
                <w:rFonts w:hint="eastAsia"/>
                <w:color w:val="auto"/>
                <w:highlight w:val="none"/>
              </w:rPr>
              <w:t>（</w:t>
            </w:r>
            <w:r>
              <w:rPr>
                <w:rFonts w:hint="eastAsia"/>
                <w:color w:val="auto"/>
                <w:highlight w:val="none"/>
                <w:lang w:val="en-US" w:eastAsia="zh-CN"/>
              </w:rPr>
              <w:t>5</w:t>
            </w:r>
            <w:r>
              <w:rPr>
                <w:rFonts w:hint="eastAsia"/>
                <w:color w:val="auto"/>
                <w:highlight w:val="none"/>
              </w:rPr>
              <w:t>）不保守采购人单位秘密的；</w:t>
            </w:r>
          </w:p>
          <w:p w14:paraId="15BB4FDC">
            <w:pPr>
              <w:keepNext w:val="0"/>
              <w:keepLines w:val="0"/>
              <w:pageBreakBefore w:val="0"/>
              <w:kinsoku/>
              <w:wordWrap/>
              <w:overflowPunct/>
              <w:topLinePunct w:val="0"/>
              <w:autoSpaceDE/>
              <w:autoSpaceDN/>
              <w:bidi w:val="0"/>
              <w:adjustRightInd/>
              <w:spacing w:afterAutospacing="0" w:line="360" w:lineRule="auto"/>
              <w:ind w:left="0" w:leftChars="0"/>
              <w:textAlignment w:val="auto"/>
              <w:rPr>
                <w:color w:val="auto"/>
                <w:highlight w:val="none"/>
              </w:rPr>
            </w:pPr>
            <w:r>
              <w:rPr>
                <w:rFonts w:hint="eastAsia"/>
                <w:color w:val="auto"/>
                <w:highlight w:val="none"/>
              </w:rPr>
              <w:t>（</w:t>
            </w:r>
            <w:r>
              <w:rPr>
                <w:rFonts w:hint="eastAsia"/>
                <w:color w:val="auto"/>
                <w:highlight w:val="none"/>
                <w:lang w:val="en-US" w:eastAsia="zh-CN"/>
              </w:rPr>
              <w:t>6</w:t>
            </w:r>
            <w:r>
              <w:rPr>
                <w:rFonts w:hint="eastAsia"/>
                <w:color w:val="auto"/>
                <w:highlight w:val="none"/>
              </w:rPr>
              <w:t>）因违反职业道德和违法执业行为受到相关主管部门公开批评或明文处理的。</w:t>
            </w:r>
          </w:p>
          <w:p w14:paraId="64CD51D0">
            <w:pPr>
              <w:keepNext w:val="0"/>
              <w:keepLines w:val="0"/>
              <w:pageBreakBefore w:val="0"/>
              <w:kinsoku/>
              <w:wordWrap/>
              <w:overflowPunct/>
              <w:topLinePunct w:val="0"/>
              <w:autoSpaceDE/>
              <w:autoSpaceDN/>
              <w:bidi w:val="0"/>
              <w:adjustRightInd/>
              <w:spacing w:afterAutospacing="0" w:line="360" w:lineRule="auto"/>
              <w:ind w:left="0" w:leftChars="0"/>
              <w:textAlignment w:val="auto"/>
              <w:rPr>
                <w:rFonts w:hint="eastAsia"/>
                <w:color w:val="auto"/>
                <w:highlight w:val="none"/>
              </w:rPr>
            </w:pPr>
            <w:r>
              <w:rPr>
                <w:rFonts w:hint="eastAsia"/>
                <w:color w:val="auto"/>
                <w:highlight w:val="none"/>
              </w:rPr>
              <w:t>（</w:t>
            </w:r>
            <w:r>
              <w:rPr>
                <w:rFonts w:hint="eastAsia"/>
                <w:color w:val="auto"/>
                <w:highlight w:val="none"/>
                <w:lang w:val="en-US" w:eastAsia="zh-CN"/>
              </w:rPr>
              <w:t>7</w:t>
            </w:r>
            <w:r>
              <w:rPr>
                <w:rFonts w:hint="eastAsia"/>
                <w:color w:val="auto"/>
                <w:highlight w:val="none"/>
              </w:rPr>
              <w:t>）发生与第三方串通损害采购人利益的。</w:t>
            </w:r>
          </w:p>
          <w:p w14:paraId="08082A94">
            <w:pPr>
              <w:keepNext w:val="0"/>
              <w:keepLines w:val="0"/>
              <w:pageBreakBefore w:val="0"/>
              <w:kinsoku/>
              <w:wordWrap/>
              <w:overflowPunct/>
              <w:topLinePunct w:val="0"/>
              <w:autoSpaceDE/>
              <w:autoSpaceDN/>
              <w:bidi w:val="0"/>
              <w:adjustRightInd/>
              <w:spacing w:afterAutospacing="0" w:line="360" w:lineRule="auto"/>
              <w:ind w:left="0" w:leftChars="0"/>
              <w:textAlignment w:val="auto"/>
              <w:rPr>
                <w:rFonts w:hint="eastAsia" w:eastAsia="宋体"/>
                <w:color w:val="auto"/>
                <w:highlight w:val="none"/>
                <w:lang w:eastAsia="zh-CN"/>
              </w:rPr>
            </w:pPr>
            <w:r>
              <w:rPr>
                <w:rFonts w:hint="eastAsia"/>
                <w:color w:val="auto"/>
                <w:highlight w:val="none"/>
                <w:lang w:eastAsia="zh-CN"/>
              </w:rPr>
              <w:t>（</w:t>
            </w:r>
            <w:r>
              <w:rPr>
                <w:rFonts w:hint="eastAsia"/>
                <w:color w:val="auto"/>
                <w:highlight w:val="none"/>
                <w:lang w:val="en-US" w:eastAsia="zh-CN"/>
              </w:rPr>
              <w:t>8</w:t>
            </w:r>
            <w:r>
              <w:rPr>
                <w:rFonts w:hint="eastAsia"/>
                <w:color w:val="auto"/>
                <w:highlight w:val="none"/>
                <w:lang w:eastAsia="zh-CN"/>
              </w:rPr>
              <w:t>）严格按照</w:t>
            </w:r>
            <w:r>
              <w:rPr>
                <w:rFonts w:hint="default"/>
                <w:color w:val="auto"/>
                <w:highlight w:val="none"/>
                <w:lang w:val="en-US" w:eastAsia="zh-CN"/>
              </w:rPr>
              <w:t>行业协会</w:t>
            </w:r>
            <w:r>
              <w:rPr>
                <w:rFonts w:hint="default"/>
                <w:color w:val="auto"/>
                <w:highlight w:val="none"/>
                <w:lang w:val="zh-CN" w:eastAsia="zh-CN"/>
              </w:rPr>
              <w:t>标准和</w:t>
            </w:r>
            <w:r>
              <w:rPr>
                <w:rFonts w:hint="eastAsia"/>
                <w:color w:val="auto"/>
                <w:highlight w:val="none"/>
                <w:lang w:val="en-US" w:eastAsia="zh-CN"/>
              </w:rPr>
              <w:t>中国内部审计准则，杜绝疏漏及错误。如合同期内服务费用结算前各级审计、巡视中发现问题，属于供应商未达到服务要求，每发现1个问题，供应商须向采购人支付年结</w:t>
            </w:r>
            <w:r>
              <w:rPr>
                <w:rFonts w:hint="eastAsia"/>
                <w:color w:val="auto"/>
                <w:highlight w:val="none"/>
                <w:lang w:eastAsia="zh-CN"/>
              </w:rPr>
              <w:t>算金额总价0.1%作为违约金，最高支付不超每年预算</w:t>
            </w:r>
            <w:r>
              <w:rPr>
                <w:rFonts w:hint="eastAsia"/>
                <w:color w:val="auto"/>
                <w:highlight w:val="none"/>
                <w:lang w:val="en-US" w:eastAsia="zh-CN"/>
              </w:rPr>
              <w:t>35万</w:t>
            </w:r>
            <w:r>
              <w:rPr>
                <w:rFonts w:hint="eastAsia"/>
                <w:color w:val="auto"/>
                <w:highlight w:val="none"/>
                <w:lang w:eastAsia="zh-CN"/>
              </w:rPr>
              <w:t>的</w:t>
            </w:r>
            <w:r>
              <w:rPr>
                <w:rFonts w:hint="eastAsia"/>
                <w:color w:val="auto"/>
                <w:highlight w:val="none"/>
                <w:lang w:val="en-US" w:eastAsia="zh-CN"/>
              </w:rPr>
              <w:t>5</w:t>
            </w:r>
            <w:r>
              <w:rPr>
                <w:rFonts w:hint="eastAsia"/>
                <w:color w:val="auto"/>
                <w:highlight w:val="none"/>
                <w:lang w:eastAsia="zh-CN"/>
              </w:rPr>
              <w:t>%。如合同结算款未支付，则从合同结算款中扣减相应违约金。</w:t>
            </w:r>
          </w:p>
        </w:tc>
      </w:tr>
      <w:tr w14:paraId="5C03D710">
        <w:tblPrEx>
          <w:tblCellMar>
            <w:top w:w="0" w:type="dxa"/>
            <w:left w:w="0" w:type="dxa"/>
            <w:bottom w:w="0" w:type="dxa"/>
            <w:right w:w="0" w:type="dxa"/>
          </w:tblCellMar>
        </w:tblPrEx>
        <w:trPr>
          <w:jc w:val="center"/>
        </w:trPr>
        <w:tc>
          <w:tcPr>
            <w:tcW w:w="1875" w:type="dxa"/>
            <w:gridSpan w:val="2"/>
            <w:tcBorders>
              <w:top w:val="single" w:color="000000" w:sz="8" w:space="0"/>
              <w:left w:val="single" w:color="000000" w:sz="8" w:space="0"/>
              <w:bottom w:val="single" w:color="000000" w:sz="8" w:space="0"/>
              <w:right w:val="single" w:color="auto" w:sz="4" w:space="0"/>
            </w:tcBorders>
            <w:tcMar>
              <w:top w:w="0" w:type="dxa"/>
              <w:left w:w="108" w:type="dxa"/>
              <w:bottom w:w="0" w:type="dxa"/>
              <w:right w:w="108" w:type="dxa"/>
            </w:tcMar>
            <w:vAlign w:val="center"/>
          </w:tcPr>
          <w:p w14:paraId="37200913">
            <w:pPr>
              <w:keepNext w:val="0"/>
              <w:keepLines w:val="0"/>
              <w:pageBreakBefore w:val="0"/>
              <w:kinsoku/>
              <w:wordWrap/>
              <w:overflowPunct/>
              <w:topLinePunct w:val="0"/>
              <w:autoSpaceDE/>
              <w:autoSpaceDN/>
              <w:bidi w:val="0"/>
              <w:adjustRightInd/>
              <w:snapToGrid w:val="0"/>
              <w:spacing w:afterAutospacing="0" w:line="360" w:lineRule="auto"/>
              <w:ind w:left="0" w:leftChars="0"/>
              <w:jc w:val="center"/>
              <w:textAlignment w:val="auto"/>
              <w:rPr>
                <w:rFonts w:ascii="宋体" w:hAnsi="宋体"/>
                <w:b/>
                <w:color w:val="auto"/>
                <w:szCs w:val="21"/>
                <w:highlight w:val="none"/>
              </w:rPr>
            </w:pPr>
            <w:r>
              <w:rPr>
                <w:rFonts w:hint="eastAsia" w:ascii="宋体" w:hAnsi="宋体"/>
                <w:b/>
                <w:color w:val="auto"/>
                <w:szCs w:val="21"/>
                <w:highlight w:val="none"/>
              </w:rPr>
              <w:t>报价要求</w:t>
            </w:r>
          </w:p>
        </w:tc>
        <w:tc>
          <w:tcPr>
            <w:tcW w:w="7731" w:type="dxa"/>
            <w:gridSpan w:val="4"/>
            <w:tcBorders>
              <w:top w:val="single" w:color="000000" w:sz="8" w:space="0"/>
              <w:left w:val="single" w:color="auto" w:sz="4" w:space="0"/>
              <w:bottom w:val="single" w:color="000000" w:sz="8" w:space="0"/>
              <w:right w:val="single" w:color="000000" w:sz="8" w:space="0"/>
            </w:tcBorders>
            <w:vAlign w:val="center"/>
          </w:tcPr>
          <w:p w14:paraId="429E92E4">
            <w:pPr>
              <w:keepNext w:val="0"/>
              <w:keepLines w:val="0"/>
              <w:pageBreakBefore w:val="0"/>
              <w:kinsoku/>
              <w:wordWrap/>
              <w:overflowPunct/>
              <w:topLinePunct w:val="0"/>
              <w:autoSpaceDE/>
              <w:autoSpaceDN/>
              <w:bidi w:val="0"/>
              <w:adjustRightInd/>
              <w:spacing w:afterAutospacing="0" w:line="360" w:lineRule="auto"/>
              <w:ind w:left="0" w:leftChars="0"/>
              <w:textAlignment w:val="auto"/>
              <w:rPr>
                <w:rFonts w:hint="eastAsia"/>
                <w:b/>
                <w:bCs/>
                <w:color w:val="auto"/>
                <w:highlight w:val="none"/>
              </w:rPr>
            </w:pPr>
            <w:r>
              <w:rPr>
                <w:rFonts w:hint="eastAsia"/>
                <w:b/>
                <w:bCs/>
                <w:color w:val="auto"/>
                <w:highlight w:val="none"/>
              </w:rPr>
              <w:t>1</w:t>
            </w:r>
            <w:r>
              <w:rPr>
                <w:rFonts w:hint="eastAsia"/>
                <w:b/>
                <w:bCs/>
                <w:color w:val="auto"/>
                <w:highlight w:val="none"/>
                <w:lang w:val="en-US" w:eastAsia="zh-CN"/>
              </w:rPr>
              <w:t>.</w:t>
            </w:r>
            <w:r>
              <w:rPr>
                <w:rFonts w:hint="eastAsia"/>
                <w:b/>
                <w:bCs/>
                <w:color w:val="auto"/>
                <w:highlight w:val="none"/>
              </w:rPr>
              <w:t>磋商报价方式：</w:t>
            </w:r>
            <w:r>
              <w:rPr>
                <w:rFonts w:hint="eastAsia"/>
                <w:b/>
                <w:bCs/>
                <w:color w:val="auto"/>
                <w:highlight w:val="none"/>
                <w:lang w:eastAsia="zh-CN"/>
              </w:rPr>
              <w:t>本项目以</w:t>
            </w:r>
            <w:r>
              <w:rPr>
                <w:rFonts w:hint="eastAsia"/>
                <w:b/>
                <w:bCs/>
                <w:color w:val="auto"/>
                <w:highlight w:val="none"/>
              </w:rPr>
              <w:t>人工费</w:t>
            </w:r>
            <w:r>
              <w:rPr>
                <w:rFonts w:hint="eastAsia"/>
                <w:b/>
                <w:bCs/>
                <w:color w:val="auto"/>
                <w:highlight w:val="none"/>
                <w:lang w:val="en-US" w:eastAsia="zh-CN"/>
              </w:rPr>
              <w:t>综合</w:t>
            </w:r>
            <w:r>
              <w:rPr>
                <w:rFonts w:hint="eastAsia"/>
                <w:b/>
                <w:bCs/>
                <w:color w:val="auto"/>
                <w:highlight w:val="none"/>
              </w:rPr>
              <w:t>单价</w:t>
            </w:r>
            <w:r>
              <w:rPr>
                <w:rFonts w:hint="eastAsia"/>
                <w:b/>
                <w:bCs/>
                <w:color w:val="auto"/>
                <w:highlight w:val="none"/>
                <w:lang w:eastAsia="zh-CN"/>
              </w:rPr>
              <w:t>形式报价，</w:t>
            </w:r>
            <w:r>
              <w:rPr>
                <w:rFonts w:hint="eastAsia"/>
                <w:b/>
                <w:bCs/>
                <w:color w:val="auto"/>
                <w:highlight w:val="none"/>
              </w:rPr>
              <w:t>人工费</w:t>
            </w:r>
            <w:r>
              <w:rPr>
                <w:rFonts w:hint="eastAsia"/>
                <w:b/>
                <w:bCs/>
                <w:color w:val="auto"/>
                <w:highlight w:val="none"/>
                <w:lang w:val="en-US" w:eastAsia="zh-CN"/>
              </w:rPr>
              <w:t>综合</w:t>
            </w:r>
            <w:r>
              <w:rPr>
                <w:rFonts w:hint="eastAsia"/>
                <w:b/>
                <w:bCs/>
                <w:color w:val="auto"/>
                <w:highlight w:val="none"/>
              </w:rPr>
              <w:t>单价合计</w:t>
            </w:r>
            <w:r>
              <w:rPr>
                <w:rFonts w:hint="eastAsia"/>
                <w:b/>
                <w:bCs/>
                <w:color w:val="auto"/>
                <w:highlight w:val="none"/>
                <w:lang w:val="en-US" w:eastAsia="zh-CN"/>
              </w:rPr>
              <w:t>报价的</w:t>
            </w:r>
            <w:r>
              <w:rPr>
                <w:rFonts w:hint="eastAsia"/>
                <w:b/>
                <w:bCs/>
                <w:color w:val="auto"/>
                <w:highlight w:val="none"/>
                <w:lang w:eastAsia="zh-CN"/>
              </w:rPr>
              <w:t>最高限价为</w:t>
            </w:r>
            <w:r>
              <w:rPr>
                <w:rFonts w:hint="eastAsia"/>
                <w:b/>
                <w:bCs/>
                <w:color w:val="auto"/>
                <w:highlight w:val="none"/>
                <w:lang w:val="en-US" w:eastAsia="zh-CN"/>
              </w:rPr>
              <w:t>14736元/天/10人。</w:t>
            </w:r>
            <w:r>
              <w:rPr>
                <w:rFonts w:hint="eastAsia"/>
                <w:b/>
                <w:bCs/>
                <w:color w:val="auto"/>
                <w:highlight w:val="none"/>
              </w:rPr>
              <w:t>人工费综合单价</w:t>
            </w:r>
            <w:r>
              <w:rPr>
                <w:rFonts w:hint="eastAsia"/>
                <w:b/>
                <w:bCs/>
                <w:color w:val="auto"/>
                <w:highlight w:val="none"/>
                <w:lang w:val="en-US" w:eastAsia="zh-CN"/>
              </w:rPr>
              <w:t>的</w:t>
            </w:r>
            <w:r>
              <w:rPr>
                <w:rFonts w:hint="eastAsia"/>
                <w:b/>
                <w:bCs/>
                <w:color w:val="auto"/>
                <w:highlight w:val="none"/>
              </w:rPr>
              <w:t>合计报价</w:t>
            </w:r>
            <w:r>
              <w:rPr>
                <w:rFonts w:hint="eastAsia"/>
                <w:b/>
                <w:bCs/>
                <w:color w:val="auto"/>
                <w:highlight w:val="none"/>
                <w:lang w:val="en-US" w:eastAsia="zh-CN"/>
              </w:rPr>
              <w:t>超过</w:t>
            </w:r>
            <w:r>
              <w:rPr>
                <w:rFonts w:hint="eastAsia"/>
                <w:b/>
                <w:bCs/>
                <w:color w:val="auto"/>
                <w:highlight w:val="none"/>
              </w:rPr>
              <w:t>单价合计</w:t>
            </w:r>
            <w:r>
              <w:rPr>
                <w:rFonts w:hint="eastAsia"/>
                <w:b/>
                <w:bCs/>
                <w:color w:val="auto"/>
                <w:highlight w:val="none"/>
                <w:lang w:val="en-US" w:eastAsia="zh-CN"/>
              </w:rPr>
              <w:t>最高限价的视为无效竞标处理</w:t>
            </w:r>
            <w:r>
              <w:rPr>
                <w:rFonts w:hint="eastAsia"/>
                <w:b/>
                <w:bCs/>
                <w:color w:val="auto"/>
                <w:highlight w:val="none"/>
              </w:rPr>
              <w:t>。</w:t>
            </w:r>
          </w:p>
          <w:p w14:paraId="7FBBDB95">
            <w:pPr>
              <w:keepNext w:val="0"/>
              <w:keepLines w:val="0"/>
              <w:pageBreakBefore w:val="0"/>
              <w:kinsoku/>
              <w:wordWrap/>
              <w:overflowPunct/>
              <w:topLinePunct w:val="0"/>
              <w:autoSpaceDE/>
              <w:autoSpaceDN/>
              <w:bidi w:val="0"/>
              <w:adjustRightInd/>
              <w:spacing w:afterAutospacing="0" w:line="360" w:lineRule="auto"/>
              <w:ind w:left="0" w:leftChars="0"/>
              <w:textAlignment w:val="auto"/>
              <w:rPr>
                <w:rFonts w:hint="default" w:eastAsia="宋体"/>
                <w:color w:val="auto"/>
                <w:highlight w:val="none"/>
                <w:lang w:val="en-US" w:eastAsia="zh-CN"/>
              </w:rPr>
            </w:pPr>
            <w:r>
              <w:rPr>
                <w:rFonts w:hint="eastAsia"/>
                <w:color w:val="auto"/>
                <w:highlight w:val="none"/>
                <w:lang w:val="en-US" w:eastAsia="zh-CN"/>
              </w:rPr>
              <w:t>2.</w:t>
            </w:r>
            <w:r>
              <w:rPr>
                <w:rFonts w:hint="eastAsia"/>
                <w:color w:val="auto"/>
                <w:highlight w:val="none"/>
                <w:lang w:eastAsia="zh-CN"/>
              </w:rPr>
              <w:t>本项目</w:t>
            </w:r>
            <w:r>
              <w:rPr>
                <w:rFonts w:hint="eastAsia"/>
                <w:color w:val="auto"/>
                <w:highlight w:val="none"/>
              </w:rPr>
              <w:t>服务期限内采购金额（总结算金额）不能超过</w:t>
            </w:r>
            <w:r>
              <w:rPr>
                <w:rFonts w:hint="eastAsia"/>
                <w:color w:val="auto"/>
                <w:highlight w:val="none"/>
                <w:lang w:eastAsia="zh-CN"/>
              </w:rPr>
              <w:t>本项目</w:t>
            </w:r>
            <w:r>
              <w:rPr>
                <w:rFonts w:hint="eastAsia"/>
                <w:color w:val="auto"/>
                <w:highlight w:val="none"/>
              </w:rPr>
              <w:t>采购预算金额。本项目拟定</w:t>
            </w:r>
            <w:r>
              <w:rPr>
                <w:rFonts w:hint="eastAsia"/>
                <w:color w:val="auto"/>
                <w:highlight w:val="none"/>
                <w:lang w:val="en-US" w:eastAsia="zh-CN"/>
              </w:rPr>
              <w:t>年</w:t>
            </w:r>
            <w:r>
              <w:rPr>
                <w:rFonts w:hint="eastAsia"/>
                <w:color w:val="auto"/>
                <w:highlight w:val="none"/>
              </w:rPr>
              <w:t>服务工作量（服务日）</w:t>
            </w:r>
            <w:r>
              <w:rPr>
                <w:rFonts w:hint="eastAsia"/>
                <w:color w:val="auto"/>
                <w:highlight w:val="none"/>
                <w:lang w:val="en-US" w:eastAsia="zh-CN"/>
              </w:rPr>
              <w:t>暂定为</w:t>
            </w:r>
            <w:r>
              <w:rPr>
                <w:rFonts w:hint="eastAsia"/>
                <w:color w:val="auto"/>
                <w:highlight w:val="none"/>
              </w:rPr>
              <w:t>23.75天/组，结算时，按照实际天数和人工费</w:t>
            </w:r>
            <w:r>
              <w:rPr>
                <w:rFonts w:hint="eastAsia"/>
                <w:color w:val="auto"/>
                <w:highlight w:val="none"/>
                <w:lang w:val="en-US" w:eastAsia="zh-CN"/>
              </w:rPr>
              <w:t>综合</w:t>
            </w:r>
            <w:r>
              <w:rPr>
                <w:rFonts w:hint="eastAsia"/>
                <w:color w:val="auto"/>
                <w:highlight w:val="none"/>
              </w:rPr>
              <w:t>单价报价</w:t>
            </w:r>
            <w:r>
              <w:rPr>
                <w:rFonts w:hint="eastAsia"/>
                <w:color w:val="auto"/>
                <w:highlight w:val="none"/>
                <w:lang w:val="en-US" w:eastAsia="zh-CN"/>
              </w:rPr>
              <w:t>进行</w:t>
            </w:r>
            <w:r>
              <w:rPr>
                <w:rFonts w:hint="eastAsia"/>
                <w:color w:val="auto"/>
                <w:highlight w:val="none"/>
              </w:rPr>
              <w:t>结算，最终</w:t>
            </w:r>
            <w:r>
              <w:rPr>
                <w:rFonts w:hint="eastAsia"/>
                <w:color w:val="auto"/>
                <w:highlight w:val="none"/>
                <w:lang w:val="en-US" w:eastAsia="zh-CN"/>
              </w:rPr>
              <w:t>年度</w:t>
            </w:r>
            <w:r>
              <w:rPr>
                <w:rFonts w:hint="eastAsia"/>
                <w:color w:val="auto"/>
                <w:highlight w:val="none"/>
              </w:rPr>
              <w:t>结算总额费用不得超过</w:t>
            </w:r>
            <w:r>
              <w:rPr>
                <w:rFonts w:hint="eastAsia"/>
                <w:color w:val="auto"/>
                <w:highlight w:val="none"/>
                <w:lang w:val="en-US" w:eastAsia="zh-CN"/>
              </w:rPr>
              <w:t>最高限价35</w:t>
            </w:r>
            <w:r>
              <w:rPr>
                <w:rFonts w:hint="eastAsia"/>
                <w:color w:val="auto"/>
                <w:highlight w:val="none"/>
              </w:rPr>
              <w:t>万元/年</w:t>
            </w:r>
            <w:r>
              <w:rPr>
                <w:rFonts w:hint="eastAsia"/>
                <w:color w:val="auto"/>
                <w:highlight w:val="none"/>
                <w:lang w:eastAsia="zh-CN"/>
              </w:rPr>
              <w:t>，</w:t>
            </w:r>
            <w:r>
              <w:rPr>
                <w:rFonts w:hint="eastAsia"/>
                <w:color w:val="auto"/>
                <w:highlight w:val="none"/>
                <w:lang w:val="en-US" w:eastAsia="zh-CN"/>
              </w:rPr>
              <w:t>2年费用</w:t>
            </w:r>
            <w:r>
              <w:rPr>
                <w:rFonts w:hint="eastAsia"/>
                <w:color w:val="auto"/>
                <w:highlight w:val="none"/>
              </w:rPr>
              <w:t>结算总额费用不得超过</w:t>
            </w:r>
            <w:r>
              <w:rPr>
                <w:rFonts w:hint="eastAsia"/>
                <w:color w:val="auto"/>
                <w:highlight w:val="none"/>
                <w:lang w:val="en-US" w:eastAsia="zh-CN"/>
              </w:rPr>
              <w:t>最高限价70</w:t>
            </w:r>
            <w:r>
              <w:rPr>
                <w:rFonts w:hint="eastAsia"/>
                <w:color w:val="auto"/>
                <w:highlight w:val="none"/>
              </w:rPr>
              <w:t>万元</w:t>
            </w:r>
            <w:r>
              <w:rPr>
                <w:rFonts w:hint="eastAsia"/>
                <w:color w:val="auto"/>
                <w:highlight w:val="none"/>
                <w:lang w:eastAsia="zh-CN"/>
              </w:rPr>
              <w:t>。</w:t>
            </w:r>
          </w:p>
          <w:p w14:paraId="52144788">
            <w:pPr>
              <w:keepNext w:val="0"/>
              <w:keepLines w:val="0"/>
              <w:pageBreakBefore w:val="0"/>
              <w:kinsoku/>
              <w:wordWrap/>
              <w:overflowPunct/>
              <w:topLinePunct w:val="0"/>
              <w:autoSpaceDE/>
              <w:autoSpaceDN/>
              <w:bidi w:val="0"/>
              <w:adjustRightInd/>
              <w:spacing w:afterAutospacing="0" w:line="360" w:lineRule="auto"/>
              <w:ind w:left="0" w:leftChars="0"/>
              <w:textAlignment w:val="auto"/>
              <w:rPr>
                <w:rFonts w:hint="default"/>
                <w:color w:val="auto"/>
                <w:highlight w:val="none"/>
                <w:lang w:val="en-US" w:eastAsia="zh-CN"/>
              </w:rPr>
            </w:pPr>
            <w:r>
              <w:rPr>
                <w:rFonts w:hint="eastAsia"/>
                <w:color w:val="auto"/>
                <w:highlight w:val="none"/>
                <w:lang w:val="en-US" w:eastAsia="zh-CN"/>
              </w:rPr>
              <w:t>3.供应商必须就所投项目的全部内容作完整唯一报价，漏项报价的或有选择的或有条件的报价，其报价将视为无效。</w:t>
            </w:r>
          </w:p>
          <w:p w14:paraId="4306809A">
            <w:pPr>
              <w:keepNext w:val="0"/>
              <w:keepLines w:val="0"/>
              <w:pageBreakBefore w:val="0"/>
              <w:kinsoku/>
              <w:wordWrap/>
              <w:overflowPunct/>
              <w:topLinePunct w:val="0"/>
              <w:autoSpaceDE/>
              <w:autoSpaceDN/>
              <w:bidi w:val="0"/>
              <w:adjustRightInd/>
              <w:spacing w:afterAutospacing="0" w:line="360" w:lineRule="auto"/>
              <w:ind w:left="0" w:leftChars="0"/>
              <w:textAlignment w:val="auto"/>
              <w:rPr>
                <w:rFonts w:hint="eastAsia" w:eastAsia="宋体"/>
                <w:color w:val="auto"/>
                <w:highlight w:val="none"/>
                <w:lang w:eastAsia="zh-CN"/>
              </w:rPr>
            </w:pPr>
            <w:r>
              <w:rPr>
                <w:rFonts w:hint="eastAsia"/>
                <w:color w:val="auto"/>
                <w:highlight w:val="none"/>
                <w:lang w:val="en-US" w:eastAsia="zh-CN"/>
              </w:rPr>
              <w:t>4</w:t>
            </w:r>
            <w:r>
              <w:rPr>
                <w:rFonts w:hint="eastAsia"/>
                <w:color w:val="auto"/>
                <w:highlight w:val="none"/>
              </w:rPr>
              <w:t>.磋商报价是履行合同的最终价格，必须</w:t>
            </w:r>
            <w:r>
              <w:rPr>
                <w:rFonts w:hint="default"/>
                <w:color w:val="auto"/>
                <w:highlight w:val="none"/>
                <w:lang w:eastAsia="zh-CN"/>
              </w:rPr>
              <w:t>包</w:t>
            </w:r>
            <w:r>
              <w:rPr>
                <w:rFonts w:hint="default"/>
                <w:color w:val="auto"/>
                <w:highlight w:val="none"/>
              </w:rPr>
              <w:t>含</w:t>
            </w:r>
            <w:r>
              <w:rPr>
                <w:rFonts w:hint="default"/>
                <w:color w:val="auto"/>
                <w:highlight w:val="none"/>
                <w:lang w:eastAsia="zh-CN"/>
              </w:rPr>
              <w:t>但不限于</w:t>
            </w:r>
            <w:r>
              <w:rPr>
                <w:rFonts w:hint="default"/>
                <w:color w:val="auto"/>
                <w:highlight w:val="none"/>
              </w:rPr>
              <w:t>工资、住宿费、差旅费、餐费</w:t>
            </w:r>
            <w:r>
              <w:rPr>
                <w:rFonts w:hint="default"/>
                <w:color w:val="auto"/>
                <w:highlight w:val="none"/>
                <w:lang w:eastAsia="zh-CN"/>
              </w:rPr>
              <w:t>、税费、保险等供应商全部费用</w:t>
            </w:r>
            <w:r>
              <w:rPr>
                <w:rFonts w:hint="default"/>
                <w:color w:val="auto"/>
                <w:highlight w:val="none"/>
              </w:rPr>
              <w:t>，在合同实施期间，采购人将不予支付协审服务没有列入的项目费用，并认为此项目的费用已包括在</w:t>
            </w:r>
            <w:r>
              <w:rPr>
                <w:rFonts w:hint="default"/>
                <w:color w:val="auto"/>
                <w:highlight w:val="none"/>
                <w:lang w:eastAsia="zh-CN"/>
              </w:rPr>
              <w:t>报</w:t>
            </w:r>
            <w:r>
              <w:rPr>
                <w:rFonts w:hint="default"/>
                <w:color w:val="auto"/>
                <w:highlight w:val="none"/>
              </w:rPr>
              <w:t>价中</w:t>
            </w:r>
            <w:r>
              <w:rPr>
                <w:rFonts w:hint="eastAsia"/>
                <w:color w:val="auto"/>
                <w:highlight w:val="none"/>
              </w:rPr>
              <w:t>，不再另做结算。供应商应加强派出人员安全管理，实施项目审计工作期间如出现</w:t>
            </w:r>
            <w:r>
              <w:rPr>
                <w:rFonts w:hint="eastAsia"/>
                <w:b/>
                <w:bCs/>
                <w:color w:val="auto"/>
                <w:highlight w:val="none"/>
                <w:lang w:val="en-US" w:eastAsia="zh-CN"/>
              </w:rPr>
              <w:t>协审</w:t>
            </w:r>
            <w:r>
              <w:rPr>
                <w:rFonts w:hint="eastAsia"/>
                <w:color w:val="auto"/>
                <w:highlight w:val="none"/>
              </w:rPr>
              <w:t>人员人身、财产安全事故、损失等由供应商全部负责，采购单位不负任何责任</w:t>
            </w:r>
            <w:r>
              <w:rPr>
                <w:rFonts w:hint="eastAsia"/>
                <w:color w:val="auto"/>
                <w:highlight w:val="none"/>
                <w:lang w:eastAsia="zh-CN"/>
              </w:rPr>
              <w:t>。</w:t>
            </w:r>
          </w:p>
        </w:tc>
      </w:tr>
      <w:tr w14:paraId="0D8955B1">
        <w:tblPrEx>
          <w:tblCellMar>
            <w:top w:w="0" w:type="dxa"/>
            <w:left w:w="0" w:type="dxa"/>
            <w:bottom w:w="0" w:type="dxa"/>
            <w:right w:w="0" w:type="dxa"/>
          </w:tblCellMar>
        </w:tblPrEx>
        <w:trPr>
          <w:jc w:val="center"/>
        </w:trPr>
        <w:tc>
          <w:tcPr>
            <w:tcW w:w="1875" w:type="dxa"/>
            <w:gridSpan w:val="2"/>
            <w:tcBorders>
              <w:top w:val="single" w:color="000000" w:sz="8" w:space="0"/>
              <w:left w:val="single" w:color="000000" w:sz="8" w:space="0"/>
              <w:bottom w:val="single" w:color="000000" w:sz="8" w:space="0"/>
              <w:right w:val="single" w:color="auto" w:sz="4" w:space="0"/>
            </w:tcBorders>
            <w:tcMar>
              <w:top w:w="0" w:type="dxa"/>
              <w:left w:w="108" w:type="dxa"/>
              <w:bottom w:w="0" w:type="dxa"/>
              <w:right w:w="108" w:type="dxa"/>
            </w:tcMar>
            <w:vAlign w:val="center"/>
          </w:tcPr>
          <w:p w14:paraId="2FF7F6D7">
            <w:pPr>
              <w:keepNext w:val="0"/>
              <w:keepLines w:val="0"/>
              <w:pageBreakBefore w:val="0"/>
              <w:kinsoku/>
              <w:wordWrap/>
              <w:overflowPunct/>
              <w:topLinePunct w:val="0"/>
              <w:autoSpaceDE/>
              <w:autoSpaceDN/>
              <w:bidi w:val="0"/>
              <w:adjustRightInd/>
              <w:spacing w:afterAutospacing="0" w:line="360" w:lineRule="auto"/>
              <w:ind w:left="0" w:leftChars="0"/>
              <w:jc w:val="center"/>
              <w:textAlignment w:val="auto"/>
              <w:rPr>
                <w:rFonts w:hint="eastAsia" w:ascii="Times New Roman" w:hAnsi="Times New Roman" w:eastAsia="宋体" w:cs="Times New Roman"/>
                <w:color w:val="auto"/>
                <w:highlight w:val="none"/>
              </w:rPr>
            </w:pPr>
            <w:r>
              <w:rPr>
                <w:rFonts w:hint="eastAsia" w:ascii="Times New Roman" w:hAnsi="Times New Roman" w:eastAsia="宋体" w:cs="Times New Roman"/>
                <w:b/>
                <w:bCs/>
                <w:color w:val="auto"/>
                <w:highlight w:val="none"/>
              </w:rPr>
              <w:t>其他要求</w:t>
            </w:r>
          </w:p>
        </w:tc>
        <w:tc>
          <w:tcPr>
            <w:tcW w:w="7731" w:type="dxa"/>
            <w:gridSpan w:val="4"/>
            <w:tcBorders>
              <w:top w:val="single" w:color="000000" w:sz="8" w:space="0"/>
              <w:left w:val="single" w:color="auto" w:sz="4" w:space="0"/>
              <w:bottom w:val="single" w:color="000000" w:sz="8" w:space="0"/>
              <w:right w:val="single" w:color="000000" w:sz="8" w:space="0"/>
            </w:tcBorders>
            <w:vAlign w:val="center"/>
          </w:tcPr>
          <w:p w14:paraId="6114C1F8">
            <w:pPr>
              <w:keepNext w:val="0"/>
              <w:keepLines w:val="0"/>
              <w:pageBreakBefore w:val="0"/>
              <w:kinsoku/>
              <w:wordWrap/>
              <w:overflowPunct/>
              <w:topLinePunct w:val="0"/>
              <w:autoSpaceDE/>
              <w:autoSpaceDN/>
              <w:bidi w:val="0"/>
              <w:adjustRightInd/>
              <w:spacing w:afterAutospacing="0" w:line="360" w:lineRule="auto"/>
              <w:ind w:left="0" w:leftChars="0"/>
              <w:textAlignment w:val="auto"/>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1</w:t>
            </w:r>
            <w:r>
              <w:rPr>
                <w:rFonts w:hint="eastAsia"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rPr>
              <w:t>保密要求：成交供应商承诺与采购人签订保密协议，如成交供应商原因导致采购人出现信息泄密、文件材料丢失等情况必须承担法律及经济责任。</w:t>
            </w:r>
          </w:p>
          <w:p w14:paraId="0B503C56">
            <w:pPr>
              <w:keepNext w:val="0"/>
              <w:keepLines w:val="0"/>
              <w:pageBreakBefore w:val="0"/>
              <w:kinsoku/>
              <w:wordWrap/>
              <w:overflowPunct/>
              <w:topLinePunct w:val="0"/>
              <w:autoSpaceDE/>
              <w:autoSpaceDN/>
              <w:bidi w:val="0"/>
              <w:adjustRightInd/>
              <w:spacing w:afterAutospacing="0" w:line="360" w:lineRule="auto"/>
              <w:ind w:left="0" w:leftChars="0"/>
              <w:textAlignment w:val="auto"/>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2</w:t>
            </w:r>
            <w:r>
              <w:rPr>
                <w:rFonts w:hint="eastAsia"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rPr>
              <w:t>供应商与审计项目或审计对象无利害关系；已接受被审计单位审计期间会计咨询相关服务的，应当主动回避</w:t>
            </w:r>
            <w:r>
              <w:rPr>
                <w:rFonts w:hint="eastAsia" w:ascii="Times New Roman" w:hAnsi="Times New Roman" w:eastAsia="宋体" w:cs="Times New Roman"/>
                <w:color w:val="auto"/>
                <w:highlight w:val="none"/>
                <w:lang w:eastAsia="zh-CN"/>
              </w:rPr>
              <w:t>。</w:t>
            </w:r>
          </w:p>
        </w:tc>
      </w:tr>
      <w:tr w14:paraId="33079119">
        <w:tblPrEx>
          <w:tblCellMar>
            <w:top w:w="0" w:type="dxa"/>
            <w:left w:w="0" w:type="dxa"/>
            <w:bottom w:w="0" w:type="dxa"/>
            <w:right w:w="0" w:type="dxa"/>
          </w:tblCellMar>
        </w:tblPrEx>
        <w:trPr>
          <w:trHeight w:val="122" w:hRule="atLeast"/>
          <w:jc w:val="center"/>
        </w:trPr>
        <w:tc>
          <w:tcPr>
            <w:tcW w:w="1875" w:type="dxa"/>
            <w:gridSpan w:val="2"/>
            <w:tcBorders>
              <w:top w:val="single" w:color="000000" w:sz="8" w:space="0"/>
              <w:left w:val="single" w:color="000000" w:sz="8" w:space="0"/>
              <w:bottom w:val="single" w:color="000000" w:sz="8" w:space="0"/>
              <w:right w:val="single" w:color="auto" w:sz="4" w:space="0"/>
            </w:tcBorders>
            <w:tcMar>
              <w:top w:w="0" w:type="dxa"/>
              <w:left w:w="108" w:type="dxa"/>
              <w:bottom w:w="0" w:type="dxa"/>
              <w:right w:w="108" w:type="dxa"/>
            </w:tcMar>
            <w:vAlign w:val="center"/>
          </w:tcPr>
          <w:p w14:paraId="7818F601">
            <w:pPr>
              <w:keepNext w:val="0"/>
              <w:keepLines w:val="0"/>
              <w:pageBreakBefore w:val="0"/>
              <w:kinsoku/>
              <w:wordWrap/>
              <w:overflowPunct/>
              <w:topLinePunct w:val="0"/>
              <w:autoSpaceDE/>
              <w:autoSpaceDN/>
              <w:bidi w:val="0"/>
              <w:adjustRightInd/>
              <w:spacing w:afterAutospacing="0" w:line="360" w:lineRule="auto"/>
              <w:ind w:left="0" w:leftChars="0"/>
              <w:jc w:val="center"/>
              <w:textAlignment w:val="auto"/>
              <w:rPr>
                <w:rFonts w:ascii="宋体" w:hAnsi="宋体"/>
                <w:b/>
                <w:bCs/>
                <w:color w:val="auto"/>
                <w:szCs w:val="21"/>
                <w:highlight w:val="none"/>
              </w:rPr>
            </w:pPr>
            <w:r>
              <w:rPr>
                <w:rFonts w:hint="eastAsia" w:ascii="宋体" w:hAnsi="宋体"/>
                <w:b/>
                <w:bCs/>
                <w:color w:val="auto"/>
                <w:szCs w:val="21"/>
                <w:highlight w:val="none"/>
              </w:rPr>
              <w:t>验收方式</w:t>
            </w:r>
          </w:p>
        </w:tc>
        <w:tc>
          <w:tcPr>
            <w:tcW w:w="7731" w:type="dxa"/>
            <w:gridSpan w:val="4"/>
            <w:tcBorders>
              <w:top w:val="single" w:color="000000" w:sz="8" w:space="0"/>
              <w:left w:val="single" w:color="auto" w:sz="4" w:space="0"/>
              <w:bottom w:val="single" w:color="000000" w:sz="8" w:space="0"/>
              <w:right w:val="single" w:color="000000" w:sz="8" w:space="0"/>
            </w:tcBorders>
            <w:vAlign w:val="center"/>
          </w:tcPr>
          <w:p w14:paraId="53A14E6E">
            <w:pPr>
              <w:keepNext w:val="0"/>
              <w:keepLines w:val="0"/>
              <w:pageBreakBefore w:val="0"/>
              <w:kinsoku/>
              <w:wordWrap/>
              <w:overflowPunct/>
              <w:topLinePunct w:val="0"/>
              <w:autoSpaceDE/>
              <w:autoSpaceDN/>
              <w:bidi w:val="0"/>
              <w:adjustRightInd/>
              <w:snapToGrid w:val="0"/>
              <w:spacing w:afterAutospacing="0" w:line="360" w:lineRule="auto"/>
              <w:ind w:left="0" w:leftChars="0"/>
              <w:textAlignment w:val="auto"/>
              <w:rPr>
                <w:rFonts w:ascii="宋体" w:hAnsi="宋体"/>
                <w:color w:val="auto"/>
                <w:szCs w:val="21"/>
                <w:highlight w:val="none"/>
              </w:rPr>
            </w:pPr>
            <w:r>
              <w:rPr>
                <w:rFonts w:hint="eastAsia" w:ascii="宋体" w:hAnsi="宋体"/>
                <w:color w:val="auto"/>
                <w:szCs w:val="21"/>
                <w:highlight w:val="none"/>
              </w:rPr>
              <w:t>成交供应商服务成果经采购人确认。</w:t>
            </w:r>
          </w:p>
        </w:tc>
      </w:tr>
    </w:tbl>
    <w:p w14:paraId="38F27EB4">
      <w:pPr>
        <w:rPr>
          <w:color w:val="auto"/>
          <w:highlight w:val="none"/>
        </w:rPr>
      </w:pPr>
    </w:p>
    <w:p w14:paraId="112AFDCD">
      <w:pPr>
        <w:rPr>
          <w:rFonts w:ascii="宋体" w:hAnsi="宋体" w:cs="宋体"/>
          <w:color w:val="auto"/>
          <w:szCs w:val="21"/>
          <w:highlight w:val="none"/>
        </w:rPr>
      </w:pPr>
      <w:r>
        <w:rPr>
          <w:rFonts w:hint="eastAsia" w:ascii="宋体" w:hAnsi="宋体" w:cs="宋体"/>
          <w:color w:val="auto"/>
          <w:szCs w:val="21"/>
          <w:highlight w:val="none"/>
        </w:rPr>
        <w:br w:type="page"/>
      </w:r>
    </w:p>
    <w:p w14:paraId="3E3A9054">
      <w:pPr>
        <w:rPr>
          <w:b/>
          <w:color w:val="auto"/>
          <w:highlight w:val="none"/>
        </w:rPr>
      </w:pPr>
      <w:r>
        <w:rPr>
          <w:b/>
          <w:color w:val="auto"/>
          <w:sz w:val="22"/>
          <w:highlight w:val="none"/>
        </w:rPr>
        <w:t>附件</w:t>
      </w:r>
      <w:r>
        <w:rPr>
          <w:rFonts w:hint="eastAsia"/>
          <w:b/>
          <w:color w:val="auto"/>
          <w:sz w:val="22"/>
          <w:highlight w:val="none"/>
        </w:rPr>
        <w:t>1：</w:t>
      </w:r>
    </w:p>
    <w:p w14:paraId="04535392">
      <w:pPr>
        <w:spacing w:line="528" w:lineRule="exact"/>
        <w:jc w:val="center"/>
        <w:rPr>
          <w:rFonts w:ascii="宋体" w:hAnsi="宋体" w:cs="宋体"/>
          <w:color w:val="auto"/>
          <w:sz w:val="40"/>
          <w:szCs w:val="40"/>
          <w:highlight w:val="none"/>
        </w:rPr>
      </w:pPr>
      <w:r>
        <w:rPr>
          <w:rFonts w:hint="eastAsia" w:ascii="宋体" w:hAnsi="宋体" w:cs="宋体"/>
          <w:color w:val="auto"/>
          <w:sz w:val="40"/>
          <w:szCs w:val="40"/>
          <w:highlight w:val="none"/>
        </w:rPr>
        <w:t>中小微企业划型标准</w:t>
      </w:r>
    </w:p>
    <w:tbl>
      <w:tblPr>
        <w:tblStyle w:val="31"/>
        <w:tblW w:w="9497" w:type="dxa"/>
        <w:tblInd w:w="26" w:type="dxa"/>
        <w:tblLayout w:type="fixed"/>
        <w:tblCellMar>
          <w:top w:w="0" w:type="dxa"/>
          <w:left w:w="108" w:type="dxa"/>
          <w:bottom w:w="0" w:type="dxa"/>
          <w:right w:w="108" w:type="dxa"/>
        </w:tblCellMar>
      </w:tblPr>
      <w:tblGrid>
        <w:gridCol w:w="1985"/>
        <w:gridCol w:w="1984"/>
        <w:gridCol w:w="851"/>
        <w:gridCol w:w="1842"/>
        <w:gridCol w:w="1701"/>
        <w:gridCol w:w="1134"/>
      </w:tblGrid>
      <w:tr w14:paraId="0F0B27B4">
        <w:tblPrEx>
          <w:tblCellMar>
            <w:top w:w="0" w:type="dxa"/>
            <w:left w:w="108" w:type="dxa"/>
            <w:bottom w:w="0" w:type="dxa"/>
            <w:right w:w="108" w:type="dxa"/>
          </w:tblCellMar>
        </w:tblPrEx>
        <w:trPr>
          <w:trHeight w:val="285" w:hRule="atLeast"/>
        </w:trPr>
        <w:tc>
          <w:tcPr>
            <w:tcW w:w="1985" w:type="dxa"/>
            <w:tcBorders>
              <w:top w:val="single" w:color="auto" w:sz="4" w:space="0"/>
              <w:left w:val="single" w:color="auto" w:sz="4" w:space="0"/>
              <w:bottom w:val="single" w:color="auto" w:sz="4" w:space="0"/>
              <w:right w:val="single" w:color="auto" w:sz="4" w:space="0"/>
            </w:tcBorders>
            <w:vAlign w:val="center"/>
          </w:tcPr>
          <w:p w14:paraId="02628A6B">
            <w:pPr>
              <w:widowControl/>
              <w:jc w:val="center"/>
              <w:rPr>
                <w:rFonts w:ascii="宋体" w:hAnsi="宋体" w:cs="宋体"/>
                <w:b/>
                <w:color w:val="auto"/>
                <w:kern w:val="0"/>
                <w:sz w:val="24"/>
                <w:highlight w:val="none"/>
              </w:rPr>
            </w:pPr>
            <w:r>
              <w:rPr>
                <w:rFonts w:hint="eastAsia" w:ascii="宋体" w:hAnsi="宋体" w:cs="宋体"/>
                <w:b/>
                <w:color w:val="auto"/>
                <w:kern w:val="0"/>
                <w:sz w:val="24"/>
                <w:highlight w:val="none"/>
              </w:rPr>
              <w:t>行业名称</w:t>
            </w:r>
          </w:p>
        </w:tc>
        <w:tc>
          <w:tcPr>
            <w:tcW w:w="1984" w:type="dxa"/>
            <w:tcBorders>
              <w:top w:val="single" w:color="auto" w:sz="4" w:space="0"/>
              <w:left w:val="nil"/>
              <w:bottom w:val="single" w:color="auto" w:sz="4" w:space="0"/>
              <w:right w:val="single" w:color="auto" w:sz="4" w:space="0"/>
            </w:tcBorders>
            <w:vAlign w:val="center"/>
          </w:tcPr>
          <w:p w14:paraId="2B82EB53">
            <w:pPr>
              <w:widowControl/>
              <w:jc w:val="center"/>
              <w:rPr>
                <w:rFonts w:ascii="宋体" w:hAnsi="宋体" w:cs="宋体"/>
                <w:b/>
                <w:color w:val="auto"/>
                <w:kern w:val="0"/>
                <w:sz w:val="24"/>
                <w:highlight w:val="none"/>
              </w:rPr>
            </w:pPr>
            <w:r>
              <w:rPr>
                <w:rFonts w:hint="eastAsia" w:ascii="宋体" w:hAnsi="宋体" w:cs="宋体"/>
                <w:b/>
                <w:color w:val="auto"/>
                <w:kern w:val="0"/>
                <w:sz w:val="24"/>
                <w:highlight w:val="none"/>
              </w:rPr>
              <w:t>指标名称</w:t>
            </w:r>
          </w:p>
        </w:tc>
        <w:tc>
          <w:tcPr>
            <w:tcW w:w="851" w:type="dxa"/>
            <w:tcBorders>
              <w:top w:val="single" w:color="auto" w:sz="4" w:space="0"/>
              <w:left w:val="nil"/>
              <w:bottom w:val="single" w:color="auto" w:sz="4" w:space="0"/>
              <w:right w:val="single" w:color="auto" w:sz="4" w:space="0"/>
            </w:tcBorders>
            <w:vAlign w:val="center"/>
          </w:tcPr>
          <w:p w14:paraId="005D989E">
            <w:pPr>
              <w:widowControl/>
              <w:jc w:val="center"/>
              <w:rPr>
                <w:rFonts w:ascii="宋体" w:hAnsi="宋体" w:cs="宋体"/>
                <w:b/>
                <w:color w:val="auto"/>
                <w:kern w:val="0"/>
                <w:sz w:val="24"/>
                <w:highlight w:val="none"/>
              </w:rPr>
            </w:pPr>
            <w:r>
              <w:rPr>
                <w:rFonts w:hint="eastAsia" w:ascii="宋体" w:hAnsi="宋体" w:cs="宋体"/>
                <w:b/>
                <w:color w:val="auto"/>
                <w:kern w:val="0"/>
                <w:sz w:val="24"/>
                <w:highlight w:val="none"/>
              </w:rPr>
              <w:t>计量单位</w:t>
            </w:r>
          </w:p>
        </w:tc>
        <w:tc>
          <w:tcPr>
            <w:tcW w:w="1842" w:type="dxa"/>
            <w:tcBorders>
              <w:top w:val="single" w:color="auto" w:sz="4" w:space="0"/>
              <w:left w:val="nil"/>
              <w:bottom w:val="single" w:color="auto" w:sz="4" w:space="0"/>
              <w:right w:val="single" w:color="auto" w:sz="4" w:space="0"/>
            </w:tcBorders>
            <w:vAlign w:val="center"/>
          </w:tcPr>
          <w:p w14:paraId="69C8CACA">
            <w:pPr>
              <w:widowControl/>
              <w:jc w:val="center"/>
              <w:rPr>
                <w:rFonts w:ascii="宋体" w:hAnsi="宋体" w:cs="宋体"/>
                <w:b/>
                <w:color w:val="auto"/>
                <w:kern w:val="0"/>
                <w:sz w:val="24"/>
                <w:highlight w:val="none"/>
              </w:rPr>
            </w:pPr>
            <w:r>
              <w:rPr>
                <w:rFonts w:hint="eastAsia" w:ascii="宋体" w:hAnsi="宋体" w:cs="宋体"/>
                <w:b/>
                <w:color w:val="auto"/>
                <w:kern w:val="0"/>
                <w:sz w:val="24"/>
                <w:highlight w:val="none"/>
              </w:rPr>
              <w:t>中型</w:t>
            </w:r>
          </w:p>
        </w:tc>
        <w:tc>
          <w:tcPr>
            <w:tcW w:w="1701" w:type="dxa"/>
            <w:tcBorders>
              <w:top w:val="single" w:color="auto" w:sz="4" w:space="0"/>
              <w:left w:val="nil"/>
              <w:bottom w:val="single" w:color="auto" w:sz="4" w:space="0"/>
              <w:right w:val="single" w:color="auto" w:sz="4" w:space="0"/>
            </w:tcBorders>
            <w:vAlign w:val="center"/>
          </w:tcPr>
          <w:p w14:paraId="7E0ADFC6">
            <w:pPr>
              <w:widowControl/>
              <w:jc w:val="center"/>
              <w:rPr>
                <w:rFonts w:ascii="宋体" w:hAnsi="宋体" w:cs="宋体"/>
                <w:b/>
                <w:color w:val="auto"/>
                <w:kern w:val="0"/>
                <w:sz w:val="24"/>
                <w:highlight w:val="none"/>
              </w:rPr>
            </w:pPr>
            <w:r>
              <w:rPr>
                <w:rFonts w:hint="eastAsia" w:ascii="宋体" w:hAnsi="宋体" w:cs="宋体"/>
                <w:b/>
                <w:color w:val="auto"/>
                <w:kern w:val="0"/>
                <w:sz w:val="24"/>
                <w:highlight w:val="none"/>
              </w:rPr>
              <w:t>小型</w:t>
            </w:r>
          </w:p>
        </w:tc>
        <w:tc>
          <w:tcPr>
            <w:tcW w:w="1134" w:type="dxa"/>
            <w:tcBorders>
              <w:top w:val="single" w:color="auto" w:sz="4" w:space="0"/>
              <w:left w:val="nil"/>
              <w:bottom w:val="single" w:color="auto" w:sz="4" w:space="0"/>
              <w:right w:val="single" w:color="auto" w:sz="4" w:space="0"/>
            </w:tcBorders>
            <w:vAlign w:val="center"/>
          </w:tcPr>
          <w:p w14:paraId="260DF1B5">
            <w:pPr>
              <w:widowControl/>
              <w:jc w:val="center"/>
              <w:rPr>
                <w:rFonts w:ascii="宋体" w:hAnsi="宋体" w:cs="宋体"/>
                <w:b/>
                <w:color w:val="auto"/>
                <w:kern w:val="0"/>
                <w:sz w:val="24"/>
                <w:highlight w:val="none"/>
              </w:rPr>
            </w:pPr>
            <w:r>
              <w:rPr>
                <w:rFonts w:hint="eastAsia" w:ascii="宋体" w:hAnsi="宋体" w:cs="宋体"/>
                <w:b/>
                <w:color w:val="auto"/>
                <w:kern w:val="0"/>
                <w:sz w:val="24"/>
                <w:highlight w:val="none"/>
              </w:rPr>
              <w:t>微型</w:t>
            </w:r>
          </w:p>
        </w:tc>
      </w:tr>
      <w:tr w14:paraId="61A5EEC6">
        <w:tblPrEx>
          <w:tblCellMar>
            <w:top w:w="0" w:type="dxa"/>
            <w:left w:w="108" w:type="dxa"/>
            <w:bottom w:w="0" w:type="dxa"/>
            <w:right w:w="108" w:type="dxa"/>
          </w:tblCellMar>
        </w:tblPrEx>
        <w:trPr>
          <w:trHeight w:val="225" w:hRule="atLeast"/>
        </w:trPr>
        <w:tc>
          <w:tcPr>
            <w:tcW w:w="1985" w:type="dxa"/>
            <w:tcBorders>
              <w:top w:val="nil"/>
              <w:left w:val="single" w:color="auto" w:sz="4" w:space="0"/>
              <w:bottom w:val="single" w:color="auto" w:sz="4" w:space="0"/>
              <w:right w:val="single" w:color="auto" w:sz="4" w:space="0"/>
            </w:tcBorders>
            <w:vAlign w:val="bottom"/>
          </w:tcPr>
          <w:p w14:paraId="0BEC129F">
            <w:pPr>
              <w:widowControl/>
              <w:jc w:val="center"/>
              <w:rPr>
                <w:rFonts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农、林、牧、渔</w:t>
            </w:r>
          </w:p>
        </w:tc>
        <w:tc>
          <w:tcPr>
            <w:tcW w:w="1984" w:type="dxa"/>
            <w:tcBorders>
              <w:top w:val="nil"/>
              <w:left w:val="nil"/>
              <w:bottom w:val="single" w:color="auto" w:sz="4" w:space="0"/>
              <w:right w:val="single" w:color="auto" w:sz="4" w:space="0"/>
            </w:tcBorders>
            <w:vAlign w:val="center"/>
          </w:tcPr>
          <w:p w14:paraId="17649C08">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营业收入（Y）</w:t>
            </w:r>
          </w:p>
        </w:tc>
        <w:tc>
          <w:tcPr>
            <w:tcW w:w="851" w:type="dxa"/>
            <w:tcBorders>
              <w:top w:val="nil"/>
              <w:left w:val="nil"/>
              <w:bottom w:val="single" w:color="auto" w:sz="4" w:space="0"/>
              <w:right w:val="single" w:color="auto" w:sz="4" w:space="0"/>
            </w:tcBorders>
            <w:vAlign w:val="center"/>
          </w:tcPr>
          <w:p w14:paraId="2315E88A">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万元</w:t>
            </w:r>
          </w:p>
        </w:tc>
        <w:tc>
          <w:tcPr>
            <w:tcW w:w="1842" w:type="dxa"/>
            <w:tcBorders>
              <w:top w:val="nil"/>
              <w:left w:val="nil"/>
              <w:bottom w:val="single" w:color="auto" w:sz="4" w:space="0"/>
              <w:right w:val="single" w:color="auto" w:sz="4" w:space="0"/>
            </w:tcBorders>
            <w:vAlign w:val="center"/>
          </w:tcPr>
          <w:p w14:paraId="7867B7DC">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500≤Y＜20000</w:t>
            </w:r>
          </w:p>
        </w:tc>
        <w:tc>
          <w:tcPr>
            <w:tcW w:w="1701" w:type="dxa"/>
            <w:tcBorders>
              <w:top w:val="nil"/>
              <w:left w:val="nil"/>
              <w:bottom w:val="single" w:color="auto" w:sz="4" w:space="0"/>
              <w:right w:val="single" w:color="auto" w:sz="4" w:space="0"/>
            </w:tcBorders>
            <w:vAlign w:val="center"/>
          </w:tcPr>
          <w:p w14:paraId="157A0D5A">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50≤Y＜500</w:t>
            </w:r>
          </w:p>
        </w:tc>
        <w:tc>
          <w:tcPr>
            <w:tcW w:w="1134" w:type="dxa"/>
            <w:tcBorders>
              <w:top w:val="nil"/>
              <w:left w:val="nil"/>
              <w:bottom w:val="single" w:color="auto" w:sz="4" w:space="0"/>
              <w:right w:val="single" w:color="auto" w:sz="4" w:space="0"/>
            </w:tcBorders>
            <w:vAlign w:val="center"/>
          </w:tcPr>
          <w:p w14:paraId="7D3BA7BE">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Y＜50</w:t>
            </w:r>
          </w:p>
        </w:tc>
      </w:tr>
      <w:tr w14:paraId="30A395E9">
        <w:tblPrEx>
          <w:tblCellMar>
            <w:top w:w="0" w:type="dxa"/>
            <w:left w:w="108" w:type="dxa"/>
            <w:bottom w:w="0" w:type="dxa"/>
            <w:right w:w="108" w:type="dxa"/>
          </w:tblCellMar>
        </w:tblPrEx>
        <w:trPr>
          <w:trHeight w:val="225" w:hRule="atLeast"/>
        </w:trPr>
        <w:tc>
          <w:tcPr>
            <w:tcW w:w="1985" w:type="dxa"/>
            <w:vMerge w:val="restart"/>
            <w:tcBorders>
              <w:top w:val="nil"/>
              <w:left w:val="single" w:color="auto" w:sz="4" w:space="0"/>
              <w:bottom w:val="single" w:color="auto" w:sz="4" w:space="0"/>
              <w:right w:val="single" w:color="auto" w:sz="4" w:space="0"/>
            </w:tcBorders>
            <w:vAlign w:val="bottom"/>
          </w:tcPr>
          <w:p w14:paraId="41FEE4A7">
            <w:pPr>
              <w:widowControl/>
              <w:jc w:val="center"/>
              <w:rPr>
                <w:rFonts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工业</w:t>
            </w:r>
          </w:p>
        </w:tc>
        <w:tc>
          <w:tcPr>
            <w:tcW w:w="1984" w:type="dxa"/>
            <w:tcBorders>
              <w:top w:val="nil"/>
              <w:left w:val="nil"/>
              <w:bottom w:val="single" w:color="auto" w:sz="4" w:space="0"/>
              <w:right w:val="single" w:color="auto" w:sz="4" w:space="0"/>
            </w:tcBorders>
            <w:vAlign w:val="center"/>
          </w:tcPr>
          <w:p w14:paraId="7C74C7D5">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从业人员（X）</w:t>
            </w:r>
          </w:p>
        </w:tc>
        <w:tc>
          <w:tcPr>
            <w:tcW w:w="851" w:type="dxa"/>
            <w:tcBorders>
              <w:top w:val="nil"/>
              <w:left w:val="nil"/>
              <w:bottom w:val="single" w:color="auto" w:sz="4" w:space="0"/>
              <w:right w:val="single" w:color="auto" w:sz="4" w:space="0"/>
            </w:tcBorders>
            <w:vAlign w:val="center"/>
          </w:tcPr>
          <w:p w14:paraId="61678283">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人</w:t>
            </w:r>
          </w:p>
        </w:tc>
        <w:tc>
          <w:tcPr>
            <w:tcW w:w="1842" w:type="dxa"/>
            <w:tcBorders>
              <w:top w:val="nil"/>
              <w:left w:val="nil"/>
              <w:bottom w:val="single" w:color="auto" w:sz="4" w:space="0"/>
              <w:right w:val="single" w:color="auto" w:sz="4" w:space="0"/>
            </w:tcBorders>
            <w:vAlign w:val="center"/>
          </w:tcPr>
          <w:p w14:paraId="096540E4">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300≤X＜1000</w:t>
            </w:r>
          </w:p>
        </w:tc>
        <w:tc>
          <w:tcPr>
            <w:tcW w:w="1701" w:type="dxa"/>
            <w:tcBorders>
              <w:top w:val="nil"/>
              <w:left w:val="nil"/>
              <w:bottom w:val="single" w:color="auto" w:sz="4" w:space="0"/>
              <w:right w:val="single" w:color="auto" w:sz="4" w:space="0"/>
            </w:tcBorders>
            <w:vAlign w:val="center"/>
          </w:tcPr>
          <w:p w14:paraId="1F61EF1B">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20≤X＜300</w:t>
            </w:r>
          </w:p>
        </w:tc>
        <w:tc>
          <w:tcPr>
            <w:tcW w:w="1134" w:type="dxa"/>
            <w:tcBorders>
              <w:top w:val="nil"/>
              <w:left w:val="nil"/>
              <w:bottom w:val="single" w:color="auto" w:sz="4" w:space="0"/>
              <w:right w:val="single" w:color="auto" w:sz="4" w:space="0"/>
            </w:tcBorders>
            <w:vAlign w:val="center"/>
          </w:tcPr>
          <w:p w14:paraId="5619EE4C">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X＜20</w:t>
            </w:r>
          </w:p>
        </w:tc>
      </w:tr>
      <w:tr w14:paraId="4B827D18">
        <w:tblPrEx>
          <w:tblCellMar>
            <w:top w:w="0" w:type="dxa"/>
            <w:left w:w="108" w:type="dxa"/>
            <w:bottom w:w="0" w:type="dxa"/>
            <w:right w:w="108" w:type="dxa"/>
          </w:tblCellMar>
        </w:tblPrEx>
        <w:trPr>
          <w:trHeight w:val="225" w:hRule="atLeast"/>
        </w:trPr>
        <w:tc>
          <w:tcPr>
            <w:tcW w:w="1985" w:type="dxa"/>
            <w:vMerge w:val="continue"/>
            <w:tcBorders>
              <w:top w:val="nil"/>
              <w:left w:val="single" w:color="auto" w:sz="4" w:space="0"/>
              <w:bottom w:val="single" w:color="auto" w:sz="4" w:space="0"/>
              <w:right w:val="single" w:color="auto" w:sz="4" w:space="0"/>
            </w:tcBorders>
            <w:vAlign w:val="center"/>
          </w:tcPr>
          <w:p w14:paraId="5755F1BB">
            <w:pPr>
              <w:widowControl/>
              <w:jc w:val="left"/>
              <w:rPr>
                <w:rFonts w:ascii="宋体" w:hAnsi="宋体" w:cs="宋体"/>
                <w:b/>
                <w:bCs/>
                <w:color w:val="auto"/>
                <w:kern w:val="0"/>
                <w:sz w:val="18"/>
                <w:szCs w:val="18"/>
                <w:highlight w:val="none"/>
              </w:rPr>
            </w:pPr>
          </w:p>
        </w:tc>
        <w:tc>
          <w:tcPr>
            <w:tcW w:w="1984" w:type="dxa"/>
            <w:tcBorders>
              <w:top w:val="nil"/>
              <w:left w:val="nil"/>
              <w:bottom w:val="single" w:color="auto" w:sz="4" w:space="0"/>
              <w:right w:val="single" w:color="auto" w:sz="4" w:space="0"/>
            </w:tcBorders>
            <w:vAlign w:val="center"/>
          </w:tcPr>
          <w:p w14:paraId="0DDB0FB1">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营业收入（Y）</w:t>
            </w:r>
          </w:p>
        </w:tc>
        <w:tc>
          <w:tcPr>
            <w:tcW w:w="851" w:type="dxa"/>
            <w:tcBorders>
              <w:top w:val="nil"/>
              <w:left w:val="nil"/>
              <w:bottom w:val="single" w:color="auto" w:sz="4" w:space="0"/>
              <w:right w:val="single" w:color="auto" w:sz="4" w:space="0"/>
            </w:tcBorders>
            <w:vAlign w:val="center"/>
          </w:tcPr>
          <w:p w14:paraId="1508B6B6">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万元</w:t>
            </w:r>
          </w:p>
        </w:tc>
        <w:tc>
          <w:tcPr>
            <w:tcW w:w="1842" w:type="dxa"/>
            <w:tcBorders>
              <w:top w:val="nil"/>
              <w:left w:val="nil"/>
              <w:bottom w:val="single" w:color="auto" w:sz="4" w:space="0"/>
              <w:right w:val="single" w:color="auto" w:sz="4" w:space="0"/>
            </w:tcBorders>
            <w:vAlign w:val="center"/>
          </w:tcPr>
          <w:p w14:paraId="5A1FDC93">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2000≤Y＜40000</w:t>
            </w:r>
          </w:p>
        </w:tc>
        <w:tc>
          <w:tcPr>
            <w:tcW w:w="1701" w:type="dxa"/>
            <w:tcBorders>
              <w:top w:val="nil"/>
              <w:left w:val="nil"/>
              <w:bottom w:val="single" w:color="auto" w:sz="4" w:space="0"/>
              <w:right w:val="single" w:color="auto" w:sz="4" w:space="0"/>
            </w:tcBorders>
            <w:vAlign w:val="center"/>
          </w:tcPr>
          <w:p w14:paraId="2BF4342D">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300≤Y＜2000</w:t>
            </w:r>
          </w:p>
        </w:tc>
        <w:tc>
          <w:tcPr>
            <w:tcW w:w="1134" w:type="dxa"/>
            <w:tcBorders>
              <w:top w:val="nil"/>
              <w:left w:val="nil"/>
              <w:bottom w:val="single" w:color="auto" w:sz="4" w:space="0"/>
              <w:right w:val="single" w:color="auto" w:sz="4" w:space="0"/>
            </w:tcBorders>
            <w:vAlign w:val="center"/>
          </w:tcPr>
          <w:p w14:paraId="23D24129">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Y＜300</w:t>
            </w:r>
          </w:p>
        </w:tc>
      </w:tr>
      <w:tr w14:paraId="208337F9">
        <w:tblPrEx>
          <w:tblCellMar>
            <w:top w:w="0" w:type="dxa"/>
            <w:left w:w="108" w:type="dxa"/>
            <w:bottom w:w="0" w:type="dxa"/>
            <w:right w:w="108" w:type="dxa"/>
          </w:tblCellMar>
        </w:tblPrEx>
        <w:trPr>
          <w:trHeight w:val="225" w:hRule="atLeast"/>
        </w:trPr>
        <w:tc>
          <w:tcPr>
            <w:tcW w:w="1985" w:type="dxa"/>
            <w:vMerge w:val="restart"/>
            <w:tcBorders>
              <w:top w:val="nil"/>
              <w:left w:val="single" w:color="auto" w:sz="4" w:space="0"/>
              <w:bottom w:val="single" w:color="auto" w:sz="4" w:space="0"/>
              <w:right w:val="single" w:color="auto" w:sz="4" w:space="0"/>
            </w:tcBorders>
            <w:vAlign w:val="bottom"/>
          </w:tcPr>
          <w:p w14:paraId="048F2C43">
            <w:pPr>
              <w:widowControl/>
              <w:jc w:val="center"/>
              <w:rPr>
                <w:rFonts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建筑业</w:t>
            </w:r>
          </w:p>
        </w:tc>
        <w:tc>
          <w:tcPr>
            <w:tcW w:w="1984" w:type="dxa"/>
            <w:tcBorders>
              <w:top w:val="nil"/>
              <w:left w:val="nil"/>
              <w:bottom w:val="single" w:color="auto" w:sz="4" w:space="0"/>
              <w:right w:val="single" w:color="auto" w:sz="4" w:space="0"/>
            </w:tcBorders>
            <w:vAlign w:val="center"/>
          </w:tcPr>
          <w:p w14:paraId="1228BEB6">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营业收入（Y）</w:t>
            </w:r>
          </w:p>
        </w:tc>
        <w:tc>
          <w:tcPr>
            <w:tcW w:w="851" w:type="dxa"/>
            <w:tcBorders>
              <w:top w:val="nil"/>
              <w:left w:val="nil"/>
              <w:bottom w:val="single" w:color="auto" w:sz="4" w:space="0"/>
              <w:right w:val="single" w:color="auto" w:sz="4" w:space="0"/>
            </w:tcBorders>
            <w:vAlign w:val="center"/>
          </w:tcPr>
          <w:p w14:paraId="2B451AA5">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万元</w:t>
            </w:r>
          </w:p>
        </w:tc>
        <w:tc>
          <w:tcPr>
            <w:tcW w:w="1842" w:type="dxa"/>
            <w:tcBorders>
              <w:top w:val="nil"/>
              <w:left w:val="nil"/>
              <w:bottom w:val="single" w:color="auto" w:sz="4" w:space="0"/>
              <w:right w:val="single" w:color="auto" w:sz="4" w:space="0"/>
            </w:tcBorders>
            <w:vAlign w:val="center"/>
          </w:tcPr>
          <w:p w14:paraId="4B802819">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6000≤Y＜80000</w:t>
            </w:r>
          </w:p>
        </w:tc>
        <w:tc>
          <w:tcPr>
            <w:tcW w:w="1701" w:type="dxa"/>
            <w:tcBorders>
              <w:top w:val="nil"/>
              <w:left w:val="nil"/>
              <w:bottom w:val="single" w:color="auto" w:sz="4" w:space="0"/>
              <w:right w:val="single" w:color="auto" w:sz="4" w:space="0"/>
            </w:tcBorders>
            <w:vAlign w:val="center"/>
          </w:tcPr>
          <w:p w14:paraId="048A4AFB">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300≤Y＜6000</w:t>
            </w:r>
          </w:p>
        </w:tc>
        <w:tc>
          <w:tcPr>
            <w:tcW w:w="1134" w:type="dxa"/>
            <w:tcBorders>
              <w:top w:val="nil"/>
              <w:left w:val="nil"/>
              <w:bottom w:val="single" w:color="auto" w:sz="4" w:space="0"/>
              <w:right w:val="single" w:color="auto" w:sz="4" w:space="0"/>
            </w:tcBorders>
            <w:vAlign w:val="center"/>
          </w:tcPr>
          <w:p w14:paraId="35E8F4EF">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Y＜300</w:t>
            </w:r>
          </w:p>
        </w:tc>
      </w:tr>
      <w:tr w14:paraId="21BCA1B1">
        <w:tblPrEx>
          <w:tblCellMar>
            <w:top w:w="0" w:type="dxa"/>
            <w:left w:w="108" w:type="dxa"/>
            <w:bottom w:w="0" w:type="dxa"/>
            <w:right w:w="108" w:type="dxa"/>
          </w:tblCellMar>
        </w:tblPrEx>
        <w:trPr>
          <w:trHeight w:val="225" w:hRule="atLeast"/>
        </w:trPr>
        <w:tc>
          <w:tcPr>
            <w:tcW w:w="1985" w:type="dxa"/>
            <w:vMerge w:val="continue"/>
            <w:tcBorders>
              <w:top w:val="nil"/>
              <w:left w:val="single" w:color="auto" w:sz="4" w:space="0"/>
              <w:bottom w:val="single" w:color="auto" w:sz="4" w:space="0"/>
              <w:right w:val="single" w:color="auto" w:sz="4" w:space="0"/>
            </w:tcBorders>
            <w:vAlign w:val="center"/>
          </w:tcPr>
          <w:p w14:paraId="454EAE1A">
            <w:pPr>
              <w:widowControl/>
              <w:jc w:val="left"/>
              <w:rPr>
                <w:rFonts w:ascii="宋体" w:hAnsi="宋体" w:cs="宋体"/>
                <w:b/>
                <w:bCs/>
                <w:color w:val="auto"/>
                <w:kern w:val="0"/>
                <w:sz w:val="18"/>
                <w:szCs w:val="18"/>
                <w:highlight w:val="none"/>
              </w:rPr>
            </w:pPr>
          </w:p>
        </w:tc>
        <w:tc>
          <w:tcPr>
            <w:tcW w:w="1984" w:type="dxa"/>
            <w:tcBorders>
              <w:top w:val="nil"/>
              <w:left w:val="nil"/>
              <w:bottom w:val="single" w:color="auto" w:sz="4" w:space="0"/>
              <w:right w:val="single" w:color="auto" w:sz="4" w:space="0"/>
            </w:tcBorders>
            <w:vAlign w:val="center"/>
          </w:tcPr>
          <w:p w14:paraId="58E3AA33">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资产总额（Z）</w:t>
            </w:r>
          </w:p>
        </w:tc>
        <w:tc>
          <w:tcPr>
            <w:tcW w:w="851" w:type="dxa"/>
            <w:tcBorders>
              <w:top w:val="nil"/>
              <w:left w:val="nil"/>
              <w:bottom w:val="single" w:color="auto" w:sz="4" w:space="0"/>
              <w:right w:val="single" w:color="auto" w:sz="4" w:space="0"/>
            </w:tcBorders>
            <w:vAlign w:val="center"/>
          </w:tcPr>
          <w:p w14:paraId="4B4E5BB9">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万元</w:t>
            </w:r>
          </w:p>
        </w:tc>
        <w:tc>
          <w:tcPr>
            <w:tcW w:w="1842" w:type="dxa"/>
            <w:tcBorders>
              <w:top w:val="nil"/>
              <w:left w:val="nil"/>
              <w:bottom w:val="single" w:color="auto" w:sz="4" w:space="0"/>
              <w:right w:val="single" w:color="auto" w:sz="4" w:space="0"/>
            </w:tcBorders>
            <w:vAlign w:val="center"/>
          </w:tcPr>
          <w:p w14:paraId="65551895">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5000≤Z＜80000</w:t>
            </w:r>
          </w:p>
        </w:tc>
        <w:tc>
          <w:tcPr>
            <w:tcW w:w="1701" w:type="dxa"/>
            <w:tcBorders>
              <w:top w:val="nil"/>
              <w:left w:val="nil"/>
              <w:bottom w:val="single" w:color="auto" w:sz="4" w:space="0"/>
              <w:right w:val="single" w:color="auto" w:sz="4" w:space="0"/>
            </w:tcBorders>
            <w:vAlign w:val="center"/>
          </w:tcPr>
          <w:p w14:paraId="0434B58A">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300≤Z＜5000</w:t>
            </w:r>
          </w:p>
        </w:tc>
        <w:tc>
          <w:tcPr>
            <w:tcW w:w="1134" w:type="dxa"/>
            <w:tcBorders>
              <w:top w:val="nil"/>
              <w:left w:val="nil"/>
              <w:bottom w:val="single" w:color="auto" w:sz="4" w:space="0"/>
              <w:right w:val="single" w:color="auto" w:sz="4" w:space="0"/>
            </w:tcBorders>
            <w:vAlign w:val="center"/>
          </w:tcPr>
          <w:p w14:paraId="4A2916AE">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Z＜300</w:t>
            </w:r>
          </w:p>
        </w:tc>
      </w:tr>
      <w:tr w14:paraId="231B1EE4">
        <w:tblPrEx>
          <w:tblCellMar>
            <w:top w:w="0" w:type="dxa"/>
            <w:left w:w="108" w:type="dxa"/>
            <w:bottom w:w="0" w:type="dxa"/>
            <w:right w:w="108" w:type="dxa"/>
          </w:tblCellMar>
        </w:tblPrEx>
        <w:trPr>
          <w:trHeight w:val="225" w:hRule="atLeast"/>
        </w:trPr>
        <w:tc>
          <w:tcPr>
            <w:tcW w:w="1985" w:type="dxa"/>
            <w:vMerge w:val="restart"/>
            <w:tcBorders>
              <w:top w:val="nil"/>
              <w:left w:val="single" w:color="auto" w:sz="4" w:space="0"/>
              <w:bottom w:val="single" w:color="auto" w:sz="4" w:space="0"/>
              <w:right w:val="single" w:color="auto" w:sz="4" w:space="0"/>
            </w:tcBorders>
            <w:vAlign w:val="bottom"/>
          </w:tcPr>
          <w:p w14:paraId="7A230219">
            <w:pPr>
              <w:widowControl/>
              <w:jc w:val="center"/>
              <w:rPr>
                <w:rFonts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批发业</w:t>
            </w:r>
          </w:p>
        </w:tc>
        <w:tc>
          <w:tcPr>
            <w:tcW w:w="1984" w:type="dxa"/>
            <w:tcBorders>
              <w:top w:val="nil"/>
              <w:left w:val="nil"/>
              <w:bottom w:val="single" w:color="auto" w:sz="4" w:space="0"/>
              <w:right w:val="single" w:color="auto" w:sz="4" w:space="0"/>
            </w:tcBorders>
            <w:vAlign w:val="center"/>
          </w:tcPr>
          <w:p w14:paraId="370C88D0">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从业人员（X）</w:t>
            </w:r>
          </w:p>
        </w:tc>
        <w:tc>
          <w:tcPr>
            <w:tcW w:w="851" w:type="dxa"/>
            <w:tcBorders>
              <w:top w:val="nil"/>
              <w:left w:val="nil"/>
              <w:bottom w:val="single" w:color="auto" w:sz="4" w:space="0"/>
              <w:right w:val="single" w:color="auto" w:sz="4" w:space="0"/>
            </w:tcBorders>
            <w:vAlign w:val="center"/>
          </w:tcPr>
          <w:p w14:paraId="561407A3">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人</w:t>
            </w:r>
          </w:p>
        </w:tc>
        <w:tc>
          <w:tcPr>
            <w:tcW w:w="1842" w:type="dxa"/>
            <w:tcBorders>
              <w:top w:val="nil"/>
              <w:left w:val="nil"/>
              <w:bottom w:val="single" w:color="auto" w:sz="4" w:space="0"/>
              <w:right w:val="single" w:color="auto" w:sz="4" w:space="0"/>
            </w:tcBorders>
            <w:vAlign w:val="center"/>
          </w:tcPr>
          <w:p w14:paraId="35B93822">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20≤X＜200</w:t>
            </w:r>
          </w:p>
        </w:tc>
        <w:tc>
          <w:tcPr>
            <w:tcW w:w="1701" w:type="dxa"/>
            <w:tcBorders>
              <w:top w:val="nil"/>
              <w:left w:val="nil"/>
              <w:bottom w:val="single" w:color="auto" w:sz="4" w:space="0"/>
              <w:right w:val="single" w:color="auto" w:sz="4" w:space="0"/>
            </w:tcBorders>
            <w:vAlign w:val="center"/>
          </w:tcPr>
          <w:p w14:paraId="3C395F9C">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5≤X＜20</w:t>
            </w:r>
          </w:p>
        </w:tc>
        <w:tc>
          <w:tcPr>
            <w:tcW w:w="1134" w:type="dxa"/>
            <w:tcBorders>
              <w:top w:val="nil"/>
              <w:left w:val="nil"/>
              <w:bottom w:val="single" w:color="auto" w:sz="4" w:space="0"/>
              <w:right w:val="single" w:color="auto" w:sz="4" w:space="0"/>
            </w:tcBorders>
            <w:vAlign w:val="center"/>
          </w:tcPr>
          <w:p w14:paraId="09568667">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X＜5</w:t>
            </w:r>
          </w:p>
        </w:tc>
      </w:tr>
      <w:tr w14:paraId="77066DAF">
        <w:tblPrEx>
          <w:tblCellMar>
            <w:top w:w="0" w:type="dxa"/>
            <w:left w:w="108" w:type="dxa"/>
            <w:bottom w:w="0" w:type="dxa"/>
            <w:right w:w="108" w:type="dxa"/>
          </w:tblCellMar>
        </w:tblPrEx>
        <w:trPr>
          <w:trHeight w:val="225" w:hRule="atLeast"/>
        </w:trPr>
        <w:tc>
          <w:tcPr>
            <w:tcW w:w="1985" w:type="dxa"/>
            <w:vMerge w:val="continue"/>
            <w:tcBorders>
              <w:top w:val="nil"/>
              <w:left w:val="single" w:color="auto" w:sz="4" w:space="0"/>
              <w:bottom w:val="single" w:color="auto" w:sz="4" w:space="0"/>
              <w:right w:val="single" w:color="auto" w:sz="4" w:space="0"/>
            </w:tcBorders>
            <w:vAlign w:val="center"/>
          </w:tcPr>
          <w:p w14:paraId="190E7FF8">
            <w:pPr>
              <w:widowControl/>
              <w:jc w:val="left"/>
              <w:rPr>
                <w:rFonts w:ascii="宋体" w:hAnsi="宋体" w:cs="宋体"/>
                <w:b/>
                <w:bCs/>
                <w:color w:val="auto"/>
                <w:kern w:val="0"/>
                <w:sz w:val="18"/>
                <w:szCs w:val="18"/>
                <w:highlight w:val="none"/>
              </w:rPr>
            </w:pPr>
          </w:p>
        </w:tc>
        <w:tc>
          <w:tcPr>
            <w:tcW w:w="1984" w:type="dxa"/>
            <w:tcBorders>
              <w:top w:val="nil"/>
              <w:left w:val="nil"/>
              <w:bottom w:val="single" w:color="auto" w:sz="4" w:space="0"/>
              <w:right w:val="single" w:color="auto" w:sz="4" w:space="0"/>
            </w:tcBorders>
            <w:vAlign w:val="center"/>
          </w:tcPr>
          <w:p w14:paraId="323D431D">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营业收入（Y）</w:t>
            </w:r>
          </w:p>
        </w:tc>
        <w:tc>
          <w:tcPr>
            <w:tcW w:w="851" w:type="dxa"/>
            <w:tcBorders>
              <w:top w:val="nil"/>
              <w:left w:val="nil"/>
              <w:bottom w:val="single" w:color="auto" w:sz="4" w:space="0"/>
              <w:right w:val="single" w:color="auto" w:sz="4" w:space="0"/>
            </w:tcBorders>
            <w:vAlign w:val="center"/>
          </w:tcPr>
          <w:p w14:paraId="77868B61">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万元</w:t>
            </w:r>
          </w:p>
        </w:tc>
        <w:tc>
          <w:tcPr>
            <w:tcW w:w="1842" w:type="dxa"/>
            <w:tcBorders>
              <w:top w:val="nil"/>
              <w:left w:val="nil"/>
              <w:bottom w:val="single" w:color="auto" w:sz="4" w:space="0"/>
              <w:right w:val="single" w:color="auto" w:sz="4" w:space="0"/>
            </w:tcBorders>
            <w:vAlign w:val="center"/>
          </w:tcPr>
          <w:p w14:paraId="6A4B2A48">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5000≤Y＜40000</w:t>
            </w:r>
          </w:p>
        </w:tc>
        <w:tc>
          <w:tcPr>
            <w:tcW w:w="1701" w:type="dxa"/>
            <w:tcBorders>
              <w:top w:val="nil"/>
              <w:left w:val="nil"/>
              <w:bottom w:val="single" w:color="auto" w:sz="4" w:space="0"/>
              <w:right w:val="single" w:color="auto" w:sz="4" w:space="0"/>
            </w:tcBorders>
            <w:vAlign w:val="center"/>
          </w:tcPr>
          <w:p w14:paraId="1522A313">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1000≤Y＜5000</w:t>
            </w:r>
          </w:p>
        </w:tc>
        <w:tc>
          <w:tcPr>
            <w:tcW w:w="1134" w:type="dxa"/>
            <w:tcBorders>
              <w:top w:val="nil"/>
              <w:left w:val="nil"/>
              <w:bottom w:val="single" w:color="auto" w:sz="4" w:space="0"/>
              <w:right w:val="single" w:color="auto" w:sz="4" w:space="0"/>
            </w:tcBorders>
            <w:vAlign w:val="center"/>
          </w:tcPr>
          <w:p w14:paraId="45C70598">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Y＜1000</w:t>
            </w:r>
          </w:p>
        </w:tc>
      </w:tr>
      <w:tr w14:paraId="00B4BB18">
        <w:tblPrEx>
          <w:tblCellMar>
            <w:top w:w="0" w:type="dxa"/>
            <w:left w:w="108" w:type="dxa"/>
            <w:bottom w:w="0" w:type="dxa"/>
            <w:right w:w="108" w:type="dxa"/>
          </w:tblCellMar>
        </w:tblPrEx>
        <w:trPr>
          <w:trHeight w:val="225" w:hRule="atLeast"/>
        </w:trPr>
        <w:tc>
          <w:tcPr>
            <w:tcW w:w="1985" w:type="dxa"/>
            <w:vMerge w:val="restart"/>
            <w:tcBorders>
              <w:top w:val="nil"/>
              <w:left w:val="single" w:color="auto" w:sz="4" w:space="0"/>
              <w:bottom w:val="single" w:color="auto" w:sz="4" w:space="0"/>
              <w:right w:val="single" w:color="auto" w:sz="4" w:space="0"/>
            </w:tcBorders>
            <w:vAlign w:val="bottom"/>
          </w:tcPr>
          <w:p w14:paraId="41FFBD4D">
            <w:pPr>
              <w:widowControl/>
              <w:jc w:val="center"/>
              <w:rPr>
                <w:rFonts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零售业</w:t>
            </w:r>
          </w:p>
        </w:tc>
        <w:tc>
          <w:tcPr>
            <w:tcW w:w="1984" w:type="dxa"/>
            <w:tcBorders>
              <w:top w:val="nil"/>
              <w:left w:val="nil"/>
              <w:bottom w:val="single" w:color="auto" w:sz="4" w:space="0"/>
              <w:right w:val="single" w:color="auto" w:sz="4" w:space="0"/>
            </w:tcBorders>
            <w:vAlign w:val="center"/>
          </w:tcPr>
          <w:p w14:paraId="4AE4B970">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从业人员（X）</w:t>
            </w:r>
          </w:p>
        </w:tc>
        <w:tc>
          <w:tcPr>
            <w:tcW w:w="851" w:type="dxa"/>
            <w:tcBorders>
              <w:top w:val="nil"/>
              <w:left w:val="nil"/>
              <w:bottom w:val="single" w:color="auto" w:sz="4" w:space="0"/>
              <w:right w:val="single" w:color="auto" w:sz="4" w:space="0"/>
            </w:tcBorders>
            <w:vAlign w:val="center"/>
          </w:tcPr>
          <w:p w14:paraId="2E236779">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人</w:t>
            </w:r>
          </w:p>
        </w:tc>
        <w:tc>
          <w:tcPr>
            <w:tcW w:w="1842" w:type="dxa"/>
            <w:tcBorders>
              <w:top w:val="nil"/>
              <w:left w:val="nil"/>
              <w:bottom w:val="single" w:color="auto" w:sz="4" w:space="0"/>
              <w:right w:val="single" w:color="auto" w:sz="4" w:space="0"/>
            </w:tcBorders>
            <w:vAlign w:val="center"/>
          </w:tcPr>
          <w:p w14:paraId="5328DF33">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50≤X＜300</w:t>
            </w:r>
          </w:p>
        </w:tc>
        <w:tc>
          <w:tcPr>
            <w:tcW w:w="1701" w:type="dxa"/>
            <w:tcBorders>
              <w:top w:val="nil"/>
              <w:left w:val="nil"/>
              <w:bottom w:val="single" w:color="auto" w:sz="4" w:space="0"/>
              <w:right w:val="single" w:color="auto" w:sz="4" w:space="0"/>
            </w:tcBorders>
            <w:vAlign w:val="center"/>
          </w:tcPr>
          <w:p w14:paraId="20740C28">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10≤X＜50</w:t>
            </w:r>
          </w:p>
        </w:tc>
        <w:tc>
          <w:tcPr>
            <w:tcW w:w="1134" w:type="dxa"/>
            <w:tcBorders>
              <w:top w:val="nil"/>
              <w:left w:val="nil"/>
              <w:bottom w:val="single" w:color="auto" w:sz="4" w:space="0"/>
              <w:right w:val="single" w:color="auto" w:sz="4" w:space="0"/>
            </w:tcBorders>
            <w:vAlign w:val="center"/>
          </w:tcPr>
          <w:p w14:paraId="5247C516">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X＜10</w:t>
            </w:r>
          </w:p>
        </w:tc>
      </w:tr>
      <w:tr w14:paraId="7E46043C">
        <w:tblPrEx>
          <w:tblCellMar>
            <w:top w:w="0" w:type="dxa"/>
            <w:left w:w="108" w:type="dxa"/>
            <w:bottom w:w="0" w:type="dxa"/>
            <w:right w:w="108" w:type="dxa"/>
          </w:tblCellMar>
        </w:tblPrEx>
        <w:trPr>
          <w:trHeight w:val="225" w:hRule="atLeast"/>
        </w:trPr>
        <w:tc>
          <w:tcPr>
            <w:tcW w:w="1985" w:type="dxa"/>
            <w:vMerge w:val="continue"/>
            <w:tcBorders>
              <w:top w:val="nil"/>
              <w:left w:val="single" w:color="auto" w:sz="4" w:space="0"/>
              <w:bottom w:val="single" w:color="auto" w:sz="4" w:space="0"/>
              <w:right w:val="single" w:color="auto" w:sz="4" w:space="0"/>
            </w:tcBorders>
            <w:vAlign w:val="center"/>
          </w:tcPr>
          <w:p w14:paraId="28A45925">
            <w:pPr>
              <w:widowControl/>
              <w:jc w:val="left"/>
              <w:rPr>
                <w:rFonts w:ascii="宋体" w:hAnsi="宋体" w:cs="宋体"/>
                <w:b/>
                <w:bCs/>
                <w:color w:val="auto"/>
                <w:kern w:val="0"/>
                <w:sz w:val="18"/>
                <w:szCs w:val="18"/>
                <w:highlight w:val="none"/>
              </w:rPr>
            </w:pPr>
          </w:p>
        </w:tc>
        <w:tc>
          <w:tcPr>
            <w:tcW w:w="1984" w:type="dxa"/>
            <w:tcBorders>
              <w:top w:val="nil"/>
              <w:left w:val="nil"/>
              <w:bottom w:val="single" w:color="auto" w:sz="4" w:space="0"/>
              <w:right w:val="single" w:color="auto" w:sz="4" w:space="0"/>
            </w:tcBorders>
            <w:vAlign w:val="center"/>
          </w:tcPr>
          <w:p w14:paraId="7A851395">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营业收入（Y）</w:t>
            </w:r>
          </w:p>
        </w:tc>
        <w:tc>
          <w:tcPr>
            <w:tcW w:w="851" w:type="dxa"/>
            <w:tcBorders>
              <w:top w:val="nil"/>
              <w:left w:val="nil"/>
              <w:bottom w:val="single" w:color="auto" w:sz="4" w:space="0"/>
              <w:right w:val="single" w:color="auto" w:sz="4" w:space="0"/>
            </w:tcBorders>
            <w:vAlign w:val="center"/>
          </w:tcPr>
          <w:p w14:paraId="4DAA588E">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万元</w:t>
            </w:r>
          </w:p>
        </w:tc>
        <w:tc>
          <w:tcPr>
            <w:tcW w:w="1842" w:type="dxa"/>
            <w:tcBorders>
              <w:top w:val="nil"/>
              <w:left w:val="nil"/>
              <w:bottom w:val="single" w:color="auto" w:sz="4" w:space="0"/>
              <w:right w:val="single" w:color="auto" w:sz="4" w:space="0"/>
            </w:tcBorders>
            <w:vAlign w:val="center"/>
          </w:tcPr>
          <w:p w14:paraId="0D046044">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500≤Y＜20000</w:t>
            </w:r>
          </w:p>
        </w:tc>
        <w:tc>
          <w:tcPr>
            <w:tcW w:w="1701" w:type="dxa"/>
            <w:tcBorders>
              <w:top w:val="nil"/>
              <w:left w:val="nil"/>
              <w:bottom w:val="single" w:color="auto" w:sz="4" w:space="0"/>
              <w:right w:val="single" w:color="auto" w:sz="4" w:space="0"/>
            </w:tcBorders>
            <w:vAlign w:val="center"/>
          </w:tcPr>
          <w:p w14:paraId="552FF559">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100≤Y＜500</w:t>
            </w:r>
          </w:p>
        </w:tc>
        <w:tc>
          <w:tcPr>
            <w:tcW w:w="1134" w:type="dxa"/>
            <w:tcBorders>
              <w:top w:val="nil"/>
              <w:left w:val="nil"/>
              <w:bottom w:val="single" w:color="auto" w:sz="4" w:space="0"/>
              <w:right w:val="single" w:color="auto" w:sz="4" w:space="0"/>
            </w:tcBorders>
            <w:vAlign w:val="center"/>
          </w:tcPr>
          <w:p w14:paraId="37F3578F">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Y＜100</w:t>
            </w:r>
          </w:p>
        </w:tc>
      </w:tr>
      <w:tr w14:paraId="1A507B61">
        <w:tblPrEx>
          <w:tblCellMar>
            <w:top w:w="0" w:type="dxa"/>
            <w:left w:w="108" w:type="dxa"/>
            <w:bottom w:w="0" w:type="dxa"/>
            <w:right w:w="108" w:type="dxa"/>
          </w:tblCellMar>
        </w:tblPrEx>
        <w:trPr>
          <w:trHeight w:val="225" w:hRule="atLeast"/>
        </w:trPr>
        <w:tc>
          <w:tcPr>
            <w:tcW w:w="1985" w:type="dxa"/>
            <w:vMerge w:val="restart"/>
            <w:tcBorders>
              <w:top w:val="nil"/>
              <w:left w:val="single" w:color="auto" w:sz="4" w:space="0"/>
              <w:bottom w:val="single" w:color="auto" w:sz="4" w:space="0"/>
              <w:right w:val="single" w:color="auto" w:sz="4" w:space="0"/>
            </w:tcBorders>
            <w:vAlign w:val="bottom"/>
          </w:tcPr>
          <w:p w14:paraId="0C39F576">
            <w:pPr>
              <w:widowControl/>
              <w:jc w:val="center"/>
              <w:rPr>
                <w:rFonts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交通运输业</w:t>
            </w:r>
          </w:p>
        </w:tc>
        <w:tc>
          <w:tcPr>
            <w:tcW w:w="1984" w:type="dxa"/>
            <w:tcBorders>
              <w:top w:val="nil"/>
              <w:left w:val="nil"/>
              <w:bottom w:val="single" w:color="auto" w:sz="4" w:space="0"/>
              <w:right w:val="single" w:color="auto" w:sz="4" w:space="0"/>
            </w:tcBorders>
            <w:vAlign w:val="center"/>
          </w:tcPr>
          <w:p w14:paraId="3B38B5FD">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从业人员（X）</w:t>
            </w:r>
          </w:p>
        </w:tc>
        <w:tc>
          <w:tcPr>
            <w:tcW w:w="851" w:type="dxa"/>
            <w:tcBorders>
              <w:top w:val="nil"/>
              <w:left w:val="nil"/>
              <w:bottom w:val="single" w:color="auto" w:sz="4" w:space="0"/>
              <w:right w:val="single" w:color="auto" w:sz="4" w:space="0"/>
            </w:tcBorders>
            <w:vAlign w:val="center"/>
          </w:tcPr>
          <w:p w14:paraId="25ECCD59">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人</w:t>
            </w:r>
          </w:p>
        </w:tc>
        <w:tc>
          <w:tcPr>
            <w:tcW w:w="1842" w:type="dxa"/>
            <w:tcBorders>
              <w:top w:val="nil"/>
              <w:left w:val="nil"/>
              <w:bottom w:val="single" w:color="auto" w:sz="4" w:space="0"/>
              <w:right w:val="single" w:color="auto" w:sz="4" w:space="0"/>
            </w:tcBorders>
            <w:vAlign w:val="center"/>
          </w:tcPr>
          <w:p w14:paraId="6B16B53B">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300≤X＜1000</w:t>
            </w:r>
          </w:p>
        </w:tc>
        <w:tc>
          <w:tcPr>
            <w:tcW w:w="1701" w:type="dxa"/>
            <w:tcBorders>
              <w:top w:val="nil"/>
              <w:left w:val="nil"/>
              <w:bottom w:val="single" w:color="auto" w:sz="4" w:space="0"/>
              <w:right w:val="single" w:color="auto" w:sz="4" w:space="0"/>
            </w:tcBorders>
            <w:vAlign w:val="center"/>
          </w:tcPr>
          <w:p w14:paraId="7488082D">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20≤X＜300</w:t>
            </w:r>
          </w:p>
        </w:tc>
        <w:tc>
          <w:tcPr>
            <w:tcW w:w="1134" w:type="dxa"/>
            <w:tcBorders>
              <w:top w:val="nil"/>
              <w:left w:val="nil"/>
              <w:bottom w:val="single" w:color="auto" w:sz="4" w:space="0"/>
              <w:right w:val="single" w:color="auto" w:sz="4" w:space="0"/>
            </w:tcBorders>
            <w:vAlign w:val="center"/>
          </w:tcPr>
          <w:p w14:paraId="6F1C2EC7">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X＜20</w:t>
            </w:r>
          </w:p>
        </w:tc>
      </w:tr>
      <w:tr w14:paraId="3838BA53">
        <w:tblPrEx>
          <w:tblCellMar>
            <w:top w:w="0" w:type="dxa"/>
            <w:left w:w="108" w:type="dxa"/>
            <w:bottom w:w="0" w:type="dxa"/>
            <w:right w:w="108" w:type="dxa"/>
          </w:tblCellMar>
        </w:tblPrEx>
        <w:trPr>
          <w:trHeight w:val="225" w:hRule="atLeast"/>
        </w:trPr>
        <w:tc>
          <w:tcPr>
            <w:tcW w:w="1985" w:type="dxa"/>
            <w:vMerge w:val="continue"/>
            <w:tcBorders>
              <w:top w:val="nil"/>
              <w:left w:val="single" w:color="auto" w:sz="4" w:space="0"/>
              <w:bottom w:val="single" w:color="auto" w:sz="4" w:space="0"/>
              <w:right w:val="single" w:color="auto" w:sz="4" w:space="0"/>
            </w:tcBorders>
            <w:vAlign w:val="center"/>
          </w:tcPr>
          <w:p w14:paraId="0067E977">
            <w:pPr>
              <w:widowControl/>
              <w:jc w:val="left"/>
              <w:rPr>
                <w:rFonts w:ascii="宋体" w:hAnsi="宋体" w:cs="宋体"/>
                <w:b/>
                <w:bCs/>
                <w:color w:val="auto"/>
                <w:kern w:val="0"/>
                <w:sz w:val="18"/>
                <w:szCs w:val="18"/>
                <w:highlight w:val="none"/>
              </w:rPr>
            </w:pPr>
          </w:p>
        </w:tc>
        <w:tc>
          <w:tcPr>
            <w:tcW w:w="1984" w:type="dxa"/>
            <w:tcBorders>
              <w:top w:val="nil"/>
              <w:left w:val="nil"/>
              <w:bottom w:val="single" w:color="auto" w:sz="4" w:space="0"/>
              <w:right w:val="single" w:color="auto" w:sz="4" w:space="0"/>
            </w:tcBorders>
            <w:vAlign w:val="center"/>
          </w:tcPr>
          <w:p w14:paraId="53591693">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营业收入（Y）</w:t>
            </w:r>
          </w:p>
        </w:tc>
        <w:tc>
          <w:tcPr>
            <w:tcW w:w="851" w:type="dxa"/>
            <w:tcBorders>
              <w:top w:val="nil"/>
              <w:left w:val="nil"/>
              <w:bottom w:val="single" w:color="auto" w:sz="4" w:space="0"/>
              <w:right w:val="single" w:color="auto" w:sz="4" w:space="0"/>
            </w:tcBorders>
            <w:vAlign w:val="center"/>
          </w:tcPr>
          <w:p w14:paraId="0A4717A5">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万元</w:t>
            </w:r>
          </w:p>
        </w:tc>
        <w:tc>
          <w:tcPr>
            <w:tcW w:w="1842" w:type="dxa"/>
            <w:tcBorders>
              <w:top w:val="nil"/>
              <w:left w:val="nil"/>
              <w:bottom w:val="single" w:color="auto" w:sz="4" w:space="0"/>
              <w:right w:val="single" w:color="auto" w:sz="4" w:space="0"/>
            </w:tcBorders>
            <w:vAlign w:val="center"/>
          </w:tcPr>
          <w:p w14:paraId="077AE94A">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3000≤Y＜30000</w:t>
            </w:r>
          </w:p>
        </w:tc>
        <w:tc>
          <w:tcPr>
            <w:tcW w:w="1701" w:type="dxa"/>
            <w:tcBorders>
              <w:top w:val="nil"/>
              <w:left w:val="nil"/>
              <w:bottom w:val="single" w:color="auto" w:sz="4" w:space="0"/>
              <w:right w:val="single" w:color="auto" w:sz="4" w:space="0"/>
            </w:tcBorders>
            <w:vAlign w:val="center"/>
          </w:tcPr>
          <w:p w14:paraId="3C582B30">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200≤Y＜3000</w:t>
            </w:r>
          </w:p>
        </w:tc>
        <w:tc>
          <w:tcPr>
            <w:tcW w:w="1134" w:type="dxa"/>
            <w:tcBorders>
              <w:top w:val="nil"/>
              <w:left w:val="nil"/>
              <w:bottom w:val="single" w:color="auto" w:sz="4" w:space="0"/>
              <w:right w:val="single" w:color="auto" w:sz="4" w:space="0"/>
            </w:tcBorders>
            <w:vAlign w:val="center"/>
          </w:tcPr>
          <w:p w14:paraId="2E4F3ED3">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Y＜200</w:t>
            </w:r>
          </w:p>
        </w:tc>
      </w:tr>
      <w:tr w14:paraId="74D2A45F">
        <w:tblPrEx>
          <w:tblCellMar>
            <w:top w:w="0" w:type="dxa"/>
            <w:left w:w="108" w:type="dxa"/>
            <w:bottom w:w="0" w:type="dxa"/>
            <w:right w:w="108" w:type="dxa"/>
          </w:tblCellMar>
        </w:tblPrEx>
        <w:trPr>
          <w:trHeight w:val="225" w:hRule="atLeast"/>
        </w:trPr>
        <w:tc>
          <w:tcPr>
            <w:tcW w:w="1985" w:type="dxa"/>
            <w:vMerge w:val="restart"/>
            <w:tcBorders>
              <w:top w:val="nil"/>
              <w:left w:val="single" w:color="auto" w:sz="4" w:space="0"/>
              <w:bottom w:val="single" w:color="auto" w:sz="4" w:space="0"/>
              <w:right w:val="single" w:color="auto" w:sz="4" w:space="0"/>
            </w:tcBorders>
            <w:vAlign w:val="bottom"/>
          </w:tcPr>
          <w:p w14:paraId="7F3A701A">
            <w:pPr>
              <w:widowControl/>
              <w:jc w:val="center"/>
              <w:rPr>
                <w:rFonts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仓储业</w:t>
            </w:r>
          </w:p>
        </w:tc>
        <w:tc>
          <w:tcPr>
            <w:tcW w:w="1984" w:type="dxa"/>
            <w:tcBorders>
              <w:top w:val="nil"/>
              <w:left w:val="nil"/>
              <w:bottom w:val="single" w:color="auto" w:sz="4" w:space="0"/>
              <w:right w:val="single" w:color="auto" w:sz="4" w:space="0"/>
            </w:tcBorders>
            <w:vAlign w:val="center"/>
          </w:tcPr>
          <w:p w14:paraId="651279B8">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从业人员（X）</w:t>
            </w:r>
          </w:p>
        </w:tc>
        <w:tc>
          <w:tcPr>
            <w:tcW w:w="851" w:type="dxa"/>
            <w:tcBorders>
              <w:top w:val="nil"/>
              <w:left w:val="nil"/>
              <w:bottom w:val="single" w:color="auto" w:sz="4" w:space="0"/>
              <w:right w:val="single" w:color="auto" w:sz="4" w:space="0"/>
            </w:tcBorders>
            <w:vAlign w:val="center"/>
          </w:tcPr>
          <w:p w14:paraId="485A9B2A">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人</w:t>
            </w:r>
          </w:p>
        </w:tc>
        <w:tc>
          <w:tcPr>
            <w:tcW w:w="1842" w:type="dxa"/>
            <w:tcBorders>
              <w:top w:val="nil"/>
              <w:left w:val="nil"/>
              <w:bottom w:val="single" w:color="auto" w:sz="4" w:space="0"/>
              <w:right w:val="single" w:color="auto" w:sz="4" w:space="0"/>
            </w:tcBorders>
            <w:vAlign w:val="center"/>
          </w:tcPr>
          <w:p w14:paraId="22D4807E">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100≤X＜200</w:t>
            </w:r>
          </w:p>
        </w:tc>
        <w:tc>
          <w:tcPr>
            <w:tcW w:w="1701" w:type="dxa"/>
            <w:tcBorders>
              <w:top w:val="nil"/>
              <w:left w:val="nil"/>
              <w:bottom w:val="single" w:color="auto" w:sz="4" w:space="0"/>
              <w:right w:val="single" w:color="auto" w:sz="4" w:space="0"/>
            </w:tcBorders>
            <w:vAlign w:val="center"/>
          </w:tcPr>
          <w:p w14:paraId="352C4408">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20≤X＜100</w:t>
            </w:r>
          </w:p>
        </w:tc>
        <w:tc>
          <w:tcPr>
            <w:tcW w:w="1134" w:type="dxa"/>
            <w:tcBorders>
              <w:top w:val="nil"/>
              <w:left w:val="nil"/>
              <w:bottom w:val="single" w:color="auto" w:sz="4" w:space="0"/>
              <w:right w:val="single" w:color="auto" w:sz="4" w:space="0"/>
            </w:tcBorders>
            <w:vAlign w:val="center"/>
          </w:tcPr>
          <w:p w14:paraId="2FE2E8F8">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X＜20</w:t>
            </w:r>
          </w:p>
        </w:tc>
      </w:tr>
      <w:tr w14:paraId="75AEDEBD">
        <w:tblPrEx>
          <w:tblCellMar>
            <w:top w:w="0" w:type="dxa"/>
            <w:left w:w="108" w:type="dxa"/>
            <w:bottom w:w="0" w:type="dxa"/>
            <w:right w:w="108" w:type="dxa"/>
          </w:tblCellMar>
        </w:tblPrEx>
        <w:trPr>
          <w:trHeight w:val="225" w:hRule="atLeast"/>
        </w:trPr>
        <w:tc>
          <w:tcPr>
            <w:tcW w:w="1985" w:type="dxa"/>
            <w:vMerge w:val="continue"/>
            <w:tcBorders>
              <w:top w:val="nil"/>
              <w:left w:val="single" w:color="auto" w:sz="4" w:space="0"/>
              <w:bottom w:val="single" w:color="auto" w:sz="4" w:space="0"/>
              <w:right w:val="single" w:color="auto" w:sz="4" w:space="0"/>
            </w:tcBorders>
            <w:vAlign w:val="center"/>
          </w:tcPr>
          <w:p w14:paraId="6EBF1E07">
            <w:pPr>
              <w:widowControl/>
              <w:jc w:val="left"/>
              <w:rPr>
                <w:rFonts w:ascii="宋体" w:hAnsi="宋体" w:cs="宋体"/>
                <w:b/>
                <w:bCs/>
                <w:color w:val="auto"/>
                <w:kern w:val="0"/>
                <w:sz w:val="18"/>
                <w:szCs w:val="18"/>
                <w:highlight w:val="none"/>
              </w:rPr>
            </w:pPr>
          </w:p>
        </w:tc>
        <w:tc>
          <w:tcPr>
            <w:tcW w:w="1984" w:type="dxa"/>
            <w:tcBorders>
              <w:top w:val="nil"/>
              <w:left w:val="nil"/>
              <w:bottom w:val="single" w:color="auto" w:sz="4" w:space="0"/>
              <w:right w:val="single" w:color="auto" w:sz="4" w:space="0"/>
            </w:tcBorders>
            <w:vAlign w:val="center"/>
          </w:tcPr>
          <w:p w14:paraId="18F7892D">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营业收入（Y）</w:t>
            </w:r>
          </w:p>
        </w:tc>
        <w:tc>
          <w:tcPr>
            <w:tcW w:w="851" w:type="dxa"/>
            <w:tcBorders>
              <w:top w:val="nil"/>
              <w:left w:val="nil"/>
              <w:bottom w:val="single" w:color="auto" w:sz="4" w:space="0"/>
              <w:right w:val="single" w:color="auto" w:sz="4" w:space="0"/>
            </w:tcBorders>
            <w:vAlign w:val="center"/>
          </w:tcPr>
          <w:p w14:paraId="4303D2D3">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万元</w:t>
            </w:r>
          </w:p>
        </w:tc>
        <w:tc>
          <w:tcPr>
            <w:tcW w:w="1842" w:type="dxa"/>
            <w:tcBorders>
              <w:top w:val="nil"/>
              <w:left w:val="nil"/>
              <w:bottom w:val="single" w:color="auto" w:sz="4" w:space="0"/>
              <w:right w:val="single" w:color="auto" w:sz="4" w:space="0"/>
            </w:tcBorders>
            <w:vAlign w:val="center"/>
          </w:tcPr>
          <w:p w14:paraId="44CE7B34">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1000≤Y＜30000</w:t>
            </w:r>
          </w:p>
        </w:tc>
        <w:tc>
          <w:tcPr>
            <w:tcW w:w="1701" w:type="dxa"/>
            <w:tcBorders>
              <w:top w:val="nil"/>
              <w:left w:val="nil"/>
              <w:bottom w:val="single" w:color="auto" w:sz="4" w:space="0"/>
              <w:right w:val="single" w:color="auto" w:sz="4" w:space="0"/>
            </w:tcBorders>
            <w:vAlign w:val="center"/>
          </w:tcPr>
          <w:p w14:paraId="03961D1A">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100≤Y＜1000</w:t>
            </w:r>
          </w:p>
        </w:tc>
        <w:tc>
          <w:tcPr>
            <w:tcW w:w="1134" w:type="dxa"/>
            <w:tcBorders>
              <w:top w:val="nil"/>
              <w:left w:val="nil"/>
              <w:bottom w:val="single" w:color="auto" w:sz="4" w:space="0"/>
              <w:right w:val="single" w:color="auto" w:sz="4" w:space="0"/>
            </w:tcBorders>
            <w:vAlign w:val="center"/>
          </w:tcPr>
          <w:p w14:paraId="6C95039B">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Y＜100</w:t>
            </w:r>
          </w:p>
        </w:tc>
      </w:tr>
      <w:tr w14:paraId="25C988DD">
        <w:tblPrEx>
          <w:tblCellMar>
            <w:top w:w="0" w:type="dxa"/>
            <w:left w:w="108" w:type="dxa"/>
            <w:bottom w:w="0" w:type="dxa"/>
            <w:right w:w="108" w:type="dxa"/>
          </w:tblCellMar>
        </w:tblPrEx>
        <w:trPr>
          <w:trHeight w:val="225" w:hRule="atLeast"/>
        </w:trPr>
        <w:tc>
          <w:tcPr>
            <w:tcW w:w="1985" w:type="dxa"/>
            <w:vMerge w:val="restart"/>
            <w:tcBorders>
              <w:top w:val="nil"/>
              <w:left w:val="single" w:color="auto" w:sz="4" w:space="0"/>
              <w:bottom w:val="single" w:color="auto" w:sz="4" w:space="0"/>
              <w:right w:val="single" w:color="auto" w:sz="4" w:space="0"/>
            </w:tcBorders>
            <w:vAlign w:val="bottom"/>
          </w:tcPr>
          <w:p w14:paraId="356ED29A">
            <w:pPr>
              <w:widowControl/>
              <w:jc w:val="center"/>
              <w:rPr>
                <w:rFonts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邮政业</w:t>
            </w:r>
          </w:p>
        </w:tc>
        <w:tc>
          <w:tcPr>
            <w:tcW w:w="1984" w:type="dxa"/>
            <w:tcBorders>
              <w:top w:val="nil"/>
              <w:left w:val="nil"/>
              <w:bottom w:val="single" w:color="auto" w:sz="4" w:space="0"/>
              <w:right w:val="single" w:color="auto" w:sz="4" w:space="0"/>
            </w:tcBorders>
            <w:vAlign w:val="center"/>
          </w:tcPr>
          <w:p w14:paraId="7ED3F18B">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从业人员（X）</w:t>
            </w:r>
          </w:p>
        </w:tc>
        <w:tc>
          <w:tcPr>
            <w:tcW w:w="851" w:type="dxa"/>
            <w:tcBorders>
              <w:top w:val="nil"/>
              <w:left w:val="nil"/>
              <w:bottom w:val="single" w:color="auto" w:sz="4" w:space="0"/>
              <w:right w:val="single" w:color="auto" w:sz="4" w:space="0"/>
            </w:tcBorders>
            <w:vAlign w:val="center"/>
          </w:tcPr>
          <w:p w14:paraId="12C69E64">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人</w:t>
            </w:r>
          </w:p>
        </w:tc>
        <w:tc>
          <w:tcPr>
            <w:tcW w:w="1842" w:type="dxa"/>
            <w:tcBorders>
              <w:top w:val="nil"/>
              <w:left w:val="nil"/>
              <w:bottom w:val="single" w:color="auto" w:sz="4" w:space="0"/>
              <w:right w:val="single" w:color="auto" w:sz="4" w:space="0"/>
            </w:tcBorders>
            <w:vAlign w:val="center"/>
          </w:tcPr>
          <w:p w14:paraId="2E5AEB1E">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300≤X＜1000</w:t>
            </w:r>
          </w:p>
        </w:tc>
        <w:tc>
          <w:tcPr>
            <w:tcW w:w="1701" w:type="dxa"/>
            <w:tcBorders>
              <w:top w:val="nil"/>
              <w:left w:val="nil"/>
              <w:bottom w:val="single" w:color="auto" w:sz="4" w:space="0"/>
              <w:right w:val="single" w:color="auto" w:sz="4" w:space="0"/>
            </w:tcBorders>
            <w:vAlign w:val="center"/>
          </w:tcPr>
          <w:p w14:paraId="642B150C">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20≤X＜300</w:t>
            </w:r>
          </w:p>
        </w:tc>
        <w:tc>
          <w:tcPr>
            <w:tcW w:w="1134" w:type="dxa"/>
            <w:tcBorders>
              <w:top w:val="nil"/>
              <w:left w:val="nil"/>
              <w:bottom w:val="single" w:color="auto" w:sz="4" w:space="0"/>
              <w:right w:val="single" w:color="auto" w:sz="4" w:space="0"/>
            </w:tcBorders>
            <w:vAlign w:val="center"/>
          </w:tcPr>
          <w:p w14:paraId="40D33CA4">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X＜20</w:t>
            </w:r>
          </w:p>
        </w:tc>
      </w:tr>
      <w:tr w14:paraId="3D886AD6">
        <w:tblPrEx>
          <w:tblCellMar>
            <w:top w:w="0" w:type="dxa"/>
            <w:left w:w="108" w:type="dxa"/>
            <w:bottom w:w="0" w:type="dxa"/>
            <w:right w:w="108" w:type="dxa"/>
          </w:tblCellMar>
        </w:tblPrEx>
        <w:trPr>
          <w:trHeight w:val="225" w:hRule="atLeast"/>
        </w:trPr>
        <w:tc>
          <w:tcPr>
            <w:tcW w:w="1985" w:type="dxa"/>
            <w:vMerge w:val="continue"/>
            <w:tcBorders>
              <w:top w:val="nil"/>
              <w:left w:val="single" w:color="auto" w:sz="4" w:space="0"/>
              <w:bottom w:val="single" w:color="auto" w:sz="4" w:space="0"/>
              <w:right w:val="single" w:color="auto" w:sz="4" w:space="0"/>
            </w:tcBorders>
            <w:vAlign w:val="center"/>
          </w:tcPr>
          <w:p w14:paraId="6CAC82DC">
            <w:pPr>
              <w:widowControl/>
              <w:jc w:val="left"/>
              <w:rPr>
                <w:rFonts w:ascii="宋体" w:hAnsi="宋体" w:cs="宋体"/>
                <w:b/>
                <w:bCs/>
                <w:color w:val="auto"/>
                <w:kern w:val="0"/>
                <w:sz w:val="18"/>
                <w:szCs w:val="18"/>
                <w:highlight w:val="none"/>
              </w:rPr>
            </w:pPr>
          </w:p>
        </w:tc>
        <w:tc>
          <w:tcPr>
            <w:tcW w:w="1984" w:type="dxa"/>
            <w:tcBorders>
              <w:top w:val="nil"/>
              <w:left w:val="nil"/>
              <w:bottom w:val="single" w:color="auto" w:sz="4" w:space="0"/>
              <w:right w:val="single" w:color="auto" w:sz="4" w:space="0"/>
            </w:tcBorders>
            <w:vAlign w:val="center"/>
          </w:tcPr>
          <w:p w14:paraId="5DBB23B7">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营业收入（Y）</w:t>
            </w:r>
          </w:p>
        </w:tc>
        <w:tc>
          <w:tcPr>
            <w:tcW w:w="851" w:type="dxa"/>
            <w:tcBorders>
              <w:top w:val="nil"/>
              <w:left w:val="nil"/>
              <w:bottom w:val="single" w:color="auto" w:sz="4" w:space="0"/>
              <w:right w:val="single" w:color="auto" w:sz="4" w:space="0"/>
            </w:tcBorders>
            <w:vAlign w:val="center"/>
          </w:tcPr>
          <w:p w14:paraId="64E12F63">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万元</w:t>
            </w:r>
          </w:p>
        </w:tc>
        <w:tc>
          <w:tcPr>
            <w:tcW w:w="1842" w:type="dxa"/>
            <w:tcBorders>
              <w:top w:val="nil"/>
              <w:left w:val="nil"/>
              <w:bottom w:val="single" w:color="auto" w:sz="4" w:space="0"/>
              <w:right w:val="single" w:color="auto" w:sz="4" w:space="0"/>
            </w:tcBorders>
            <w:vAlign w:val="center"/>
          </w:tcPr>
          <w:p w14:paraId="58629E6E">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2000≤Y＜30000</w:t>
            </w:r>
          </w:p>
        </w:tc>
        <w:tc>
          <w:tcPr>
            <w:tcW w:w="1701" w:type="dxa"/>
            <w:tcBorders>
              <w:top w:val="nil"/>
              <w:left w:val="nil"/>
              <w:bottom w:val="single" w:color="auto" w:sz="4" w:space="0"/>
              <w:right w:val="single" w:color="auto" w:sz="4" w:space="0"/>
            </w:tcBorders>
            <w:vAlign w:val="center"/>
          </w:tcPr>
          <w:p w14:paraId="696AD90B">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100≤Y＜2000</w:t>
            </w:r>
          </w:p>
        </w:tc>
        <w:tc>
          <w:tcPr>
            <w:tcW w:w="1134" w:type="dxa"/>
            <w:tcBorders>
              <w:top w:val="nil"/>
              <w:left w:val="nil"/>
              <w:bottom w:val="single" w:color="auto" w:sz="4" w:space="0"/>
              <w:right w:val="single" w:color="auto" w:sz="4" w:space="0"/>
            </w:tcBorders>
            <w:vAlign w:val="center"/>
          </w:tcPr>
          <w:p w14:paraId="13592967">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Y＜100</w:t>
            </w:r>
          </w:p>
        </w:tc>
      </w:tr>
      <w:tr w14:paraId="246680F3">
        <w:tblPrEx>
          <w:tblCellMar>
            <w:top w:w="0" w:type="dxa"/>
            <w:left w:w="108" w:type="dxa"/>
            <w:bottom w:w="0" w:type="dxa"/>
            <w:right w:w="108" w:type="dxa"/>
          </w:tblCellMar>
        </w:tblPrEx>
        <w:trPr>
          <w:trHeight w:val="225" w:hRule="atLeast"/>
        </w:trPr>
        <w:tc>
          <w:tcPr>
            <w:tcW w:w="1985" w:type="dxa"/>
            <w:vMerge w:val="restart"/>
            <w:tcBorders>
              <w:top w:val="nil"/>
              <w:left w:val="single" w:color="auto" w:sz="4" w:space="0"/>
              <w:bottom w:val="single" w:color="auto" w:sz="4" w:space="0"/>
              <w:right w:val="single" w:color="auto" w:sz="4" w:space="0"/>
            </w:tcBorders>
            <w:vAlign w:val="bottom"/>
          </w:tcPr>
          <w:p w14:paraId="331566EC">
            <w:pPr>
              <w:widowControl/>
              <w:jc w:val="center"/>
              <w:rPr>
                <w:rFonts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住宿业</w:t>
            </w:r>
          </w:p>
        </w:tc>
        <w:tc>
          <w:tcPr>
            <w:tcW w:w="1984" w:type="dxa"/>
            <w:tcBorders>
              <w:top w:val="nil"/>
              <w:left w:val="nil"/>
              <w:bottom w:val="single" w:color="auto" w:sz="4" w:space="0"/>
              <w:right w:val="single" w:color="auto" w:sz="4" w:space="0"/>
            </w:tcBorders>
            <w:vAlign w:val="center"/>
          </w:tcPr>
          <w:p w14:paraId="707D021E">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从业人员（X）</w:t>
            </w:r>
          </w:p>
        </w:tc>
        <w:tc>
          <w:tcPr>
            <w:tcW w:w="851" w:type="dxa"/>
            <w:tcBorders>
              <w:top w:val="nil"/>
              <w:left w:val="nil"/>
              <w:bottom w:val="single" w:color="auto" w:sz="4" w:space="0"/>
              <w:right w:val="single" w:color="auto" w:sz="4" w:space="0"/>
            </w:tcBorders>
            <w:vAlign w:val="center"/>
          </w:tcPr>
          <w:p w14:paraId="02E5DEBF">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人</w:t>
            </w:r>
          </w:p>
        </w:tc>
        <w:tc>
          <w:tcPr>
            <w:tcW w:w="1842" w:type="dxa"/>
            <w:tcBorders>
              <w:top w:val="nil"/>
              <w:left w:val="nil"/>
              <w:bottom w:val="single" w:color="auto" w:sz="4" w:space="0"/>
              <w:right w:val="single" w:color="auto" w:sz="4" w:space="0"/>
            </w:tcBorders>
            <w:vAlign w:val="center"/>
          </w:tcPr>
          <w:p w14:paraId="5692CE4D">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100≤X＜300</w:t>
            </w:r>
          </w:p>
        </w:tc>
        <w:tc>
          <w:tcPr>
            <w:tcW w:w="1701" w:type="dxa"/>
            <w:tcBorders>
              <w:top w:val="nil"/>
              <w:left w:val="nil"/>
              <w:bottom w:val="single" w:color="auto" w:sz="4" w:space="0"/>
              <w:right w:val="single" w:color="auto" w:sz="4" w:space="0"/>
            </w:tcBorders>
            <w:vAlign w:val="center"/>
          </w:tcPr>
          <w:p w14:paraId="1EF5AE90">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10≤X＜100</w:t>
            </w:r>
          </w:p>
        </w:tc>
        <w:tc>
          <w:tcPr>
            <w:tcW w:w="1134" w:type="dxa"/>
            <w:tcBorders>
              <w:top w:val="nil"/>
              <w:left w:val="nil"/>
              <w:bottom w:val="single" w:color="auto" w:sz="4" w:space="0"/>
              <w:right w:val="single" w:color="auto" w:sz="4" w:space="0"/>
            </w:tcBorders>
            <w:vAlign w:val="center"/>
          </w:tcPr>
          <w:p w14:paraId="18F32CF6">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X＜10</w:t>
            </w:r>
          </w:p>
        </w:tc>
      </w:tr>
      <w:tr w14:paraId="6D797C24">
        <w:tblPrEx>
          <w:tblCellMar>
            <w:top w:w="0" w:type="dxa"/>
            <w:left w:w="108" w:type="dxa"/>
            <w:bottom w:w="0" w:type="dxa"/>
            <w:right w:w="108" w:type="dxa"/>
          </w:tblCellMar>
        </w:tblPrEx>
        <w:trPr>
          <w:trHeight w:val="225" w:hRule="atLeast"/>
        </w:trPr>
        <w:tc>
          <w:tcPr>
            <w:tcW w:w="1985" w:type="dxa"/>
            <w:vMerge w:val="continue"/>
            <w:tcBorders>
              <w:top w:val="nil"/>
              <w:left w:val="single" w:color="auto" w:sz="4" w:space="0"/>
              <w:bottom w:val="single" w:color="auto" w:sz="4" w:space="0"/>
              <w:right w:val="single" w:color="auto" w:sz="4" w:space="0"/>
            </w:tcBorders>
            <w:vAlign w:val="center"/>
          </w:tcPr>
          <w:p w14:paraId="61FC28BF">
            <w:pPr>
              <w:widowControl/>
              <w:jc w:val="left"/>
              <w:rPr>
                <w:rFonts w:ascii="宋体" w:hAnsi="宋体" w:cs="宋体"/>
                <w:b/>
                <w:bCs/>
                <w:color w:val="auto"/>
                <w:kern w:val="0"/>
                <w:sz w:val="18"/>
                <w:szCs w:val="18"/>
                <w:highlight w:val="none"/>
              </w:rPr>
            </w:pPr>
          </w:p>
        </w:tc>
        <w:tc>
          <w:tcPr>
            <w:tcW w:w="1984" w:type="dxa"/>
            <w:tcBorders>
              <w:top w:val="nil"/>
              <w:left w:val="nil"/>
              <w:bottom w:val="single" w:color="auto" w:sz="4" w:space="0"/>
              <w:right w:val="single" w:color="auto" w:sz="4" w:space="0"/>
            </w:tcBorders>
            <w:vAlign w:val="center"/>
          </w:tcPr>
          <w:p w14:paraId="62B5C93F">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营业收入（Y）</w:t>
            </w:r>
          </w:p>
        </w:tc>
        <w:tc>
          <w:tcPr>
            <w:tcW w:w="851" w:type="dxa"/>
            <w:tcBorders>
              <w:top w:val="nil"/>
              <w:left w:val="nil"/>
              <w:bottom w:val="single" w:color="auto" w:sz="4" w:space="0"/>
              <w:right w:val="single" w:color="auto" w:sz="4" w:space="0"/>
            </w:tcBorders>
            <w:vAlign w:val="center"/>
          </w:tcPr>
          <w:p w14:paraId="1B0BB49D">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万元</w:t>
            </w:r>
          </w:p>
        </w:tc>
        <w:tc>
          <w:tcPr>
            <w:tcW w:w="1842" w:type="dxa"/>
            <w:tcBorders>
              <w:top w:val="nil"/>
              <w:left w:val="nil"/>
              <w:bottom w:val="single" w:color="auto" w:sz="4" w:space="0"/>
              <w:right w:val="single" w:color="auto" w:sz="4" w:space="0"/>
            </w:tcBorders>
            <w:vAlign w:val="center"/>
          </w:tcPr>
          <w:p w14:paraId="2E409DF1">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2000≤Y＜10000</w:t>
            </w:r>
          </w:p>
        </w:tc>
        <w:tc>
          <w:tcPr>
            <w:tcW w:w="1701" w:type="dxa"/>
            <w:tcBorders>
              <w:top w:val="nil"/>
              <w:left w:val="nil"/>
              <w:bottom w:val="single" w:color="auto" w:sz="4" w:space="0"/>
              <w:right w:val="single" w:color="auto" w:sz="4" w:space="0"/>
            </w:tcBorders>
            <w:vAlign w:val="center"/>
          </w:tcPr>
          <w:p w14:paraId="01C135F6">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100≤Y＜2000</w:t>
            </w:r>
          </w:p>
        </w:tc>
        <w:tc>
          <w:tcPr>
            <w:tcW w:w="1134" w:type="dxa"/>
            <w:tcBorders>
              <w:top w:val="nil"/>
              <w:left w:val="nil"/>
              <w:bottom w:val="single" w:color="auto" w:sz="4" w:space="0"/>
              <w:right w:val="single" w:color="auto" w:sz="4" w:space="0"/>
            </w:tcBorders>
            <w:vAlign w:val="center"/>
          </w:tcPr>
          <w:p w14:paraId="3DBE9A30">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Y＜100</w:t>
            </w:r>
          </w:p>
        </w:tc>
      </w:tr>
      <w:tr w14:paraId="4291DE25">
        <w:tblPrEx>
          <w:tblCellMar>
            <w:top w:w="0" w:type="dxa"/>
            <w:left w:w="108" w:type="dxa"/>
            <w:bottom w:w="0" w:type="dxa"/>
            <w:right w:w="108" w:type="dxa"/>
          </w:tblCellMar>
        </w:tblPrEx>
        <w:trPr>
          <w:trHeight w:val="225" w:hRule="atLeast"/>
        </w:trPr>
        <w:tc>
          <w:tcPr>
            <w:tcW w:w="1985" w:type="dxa"/>
            <w:vMerge w:val="restart"/>
            <w:tcBorders>
              <w:top w:val="nil"/>
              <w:left w:val="single" w:color="auto" w:sz="4" w:space="0"/>
              <w:bottom w:val="single" w:color="auto" w:sz="4" w:space="0"/>
              <w:right w:val="single" w:color="auto" w:sz="4" w:space="0"/>
            </w:tcBorders>
            <w:vAlign w:val="bottom"/>
          </w:tcPr>
          <w:p w14:paraId="64CF6234">
            <w:pPr>
              <w:widowControl/>
              <w:jc w:val="center"/>
              <w:rPr>
                <w:rFonts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餐饮业</w:t>
            </w:r>
          </w:p>
        </w:tc>
        <w:tc>
          <w:tcPr>
            <w:tcW w:w="1984" w:type="dxa"/>
            <w:tcBorders>
              <w:top w:val="nil"/>
              <w:left w:val="nil"/>
              <w:bottom w:val="single" w:color="auto" w:sz="4" w:space="0"/>
              <w:right w:val="single" w:color="auto" w:sz="4" w:space="0"/>
            </w:tcBorders>
            <w:vAlign w:val="center"/>
          </w:tcPr>
          <w:p w14:paraId="1B89F0B5">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从业人员（X）</w:t>
            </w:r>
          </w:p>
        </w:tc>
        <w:tc>
          <w:tcPr>
            <w:tcW w:w="851" w:type="dxa"/>
            <w:tcBorders>
              <w:top w:val="nil"/>
              <w:left w:val="nil"/>
              <w:bottom w:val="single" w:color="auto" w:sz="4" w:space="0"/>
              <w:right w:val="single" w:color="auto" w:sz="4" w:space="0"/>
            </w:tcBorders>
            <w:vAlign w:val="center"/>
          </w:tcPr>
          <w:p w14:paraId="57AAECA7">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人</w:t>
            </w:r>
          </w:p>
        </w:tc>
        <w:tc>
          <w:tcPr>
            <w:tcW w:w="1842" w:type="dxa"/>
            <w:tcBorders>
              <w:top w:val="nil"/>
              <w:left w:val="nil"/>
              <w:bottom w:val="single" w:color="auto" w:sz="4" w:space="0"/>
              <w:right w:val="single" w:color="auto" w:sz="4" w:space="0"/>
            </w:tcBorders>
            <w:vAlign w:val="center"/>
          </w:tcPr>
          <w:p w14:paraId="51446224">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100≤X＜300</w:t>
            </w:r>
          </w:p>
        </w:tc>
        <w:tc>
          <w:tcPr>
            <w:tcW w:w="1701" w:type="dxa"/>
            <w:tcBorders>
              <w:top w:val="nil"/>
              <w:left w:val="nil"/>
              <w:bottom w:val="single" w:color="auto" w:sz="4" w:space="0"/>
              <w:right w:val="single" w:color="auto" w:sz="4" w:space="0"/>
            </w:tcBorders>
            <w:vAlign w:val="center"/>
          </w:tcPr>
          <w:p w14:paraId="095D4640">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10≤X＜100</w:t>
            </w:r>
          </w:p>
        </w:tc>
        <w:tc>
          <w:tcPr>
            <w:tcW w:w="1134" w:type="dxa"/>
            <w:tcBorders>
              <w:top w:val="nil"/>
              <w:left w:val="nil"/>
              <w:bottom w:val="single" w:color="auto" w:sz="4" w:space="0"/>
              <w:right w:val="single" w:color="auto" w:sz="4" w:space="0"/>
            </w:tcBorders>
            <w:vAlign w:val="center"/>
          </w:tcPr>
          <w:p w14:paraId="76E04412">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X＜10</w:t>
            </w:r>
          </w:p>
        </w:tc>
      </w:tr>
      <w:tr w14:paraId="63B54129">
        <w:tblPrEx>
          <w:tblCellMar>
            <w:top w:w="0" w:type="dxa"/>
            <w:left w:w="108" w:type="dxa"/>
            <w:bottom w:w="0" w:type="dxa"/>
            <w:right w:w="108" w:type="dxa"/>
          </w:tblCellMar>
        </w:tblPrEx>
        <w:trPr>
          <w:trHeight w:val="225" w:hRule="atLeast"/>
        </w:trPr>
        <w:tc>
          <w:tcPr>
            <w:tcW w:w="1985" w:type="dxa"/>
            <w:vMerge w:val="continue"/>
            <w:tcBorders>
              <w:top w:val="nil"/>
              <w:left w:val="single" w:color="auto" w:sz="4" w:space="0"/>
              <w:bottom w:val="single" w:color="auto" w:sz="4" w:space="0"/>
              <w:right w:val="single" w:color="auto" w:sz="4" w:space="0"/>
            </w:tcBorders>
            <w:vAlign w:val="center"/>
          </w:tcPr>
          <w:p w14:paraId="7F35C951">
            <w:pPr>
              <w:widowControl/>
              <w:jc w:val="left"/>
              <w:rPr>
                <w:rFonts w:ascii="宋体" w:hAnsi="宋体" w:cs="宋体"/>
                <w:b/>
                <w:bCs/>
                <w:color w:val="auto"/>
                <w:kern w:val="0"/>
                <w:sz w:val="18"/>
                <w:szCs w:val="18"/>
                <w:highlight w:val="none"/>
              </w:rPr>
            </w:pPr>
          </w:p>
        </w:tc>
        <w:tc>
          <w:tcPr>
            <w:tcW w:w="1984" w:type="dxa"/>
            <w:tcBorders>
              <w:top w:val="nil"/>
              <w:left w:val="nil"/>
              <w:bottom w:val="single" w:color="auto" w:sz="4" w:space="0"/>
              <w:right w:val="single" w:color="auto" w:sz="4" w:space="0"/>
            </w:tcBorders>
            <w:vAlign w:val="center"/>
          </w:tcPr>
          <w:p w14:paraId="0CC97D57">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营业收入（Y）</w:t>
            </w:r>
          </w:p>
        </w:tc>
        <w:tc>
          <w:tcPr>
            <w:tcW w:w="851" w:type="dxa"/>
            <w:tcBorders>
              <w:top w:val="nil"/>
              <w:left w:val="nil"/>
              <w:bottom w:val="single" w:color="auto" w:sz="4" w:space="0"/>
              <w:right w:val="single" w:color="auto" w:sz="4" w:space="0"/>
            </w:tcBorders>
            <w:vAlign w:val="center"/>
          </w:tcPr>
          <w:p w14:paraId="1498AC74">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万元</w:t>
            </w:r>
          </w:p>
        </w:tc>
        <w:tc>
          <w:tcPr>
            <w:tcW w:w="1842" w:type="dxa"/>
            <w:tcBorders>
              <w:top w:val="nil"/>
              <w:left w:val="nil"/>
              <w:bottom w:val="single" w:color="auto" w:sz="4" w:space="0"/>
              <w:right w:val="single" w:color="auto" w:sz="4" w:space="0"/>
            </w:tcBorders>
            <w:vAlign w:val="center"/>
          </w:tcPr>
          <w:p w14:paraId="123E255D">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2000≤Y＜10000</w:t>
            </w:r>
          </w:p>
        </w:tc>
        <w:tc>
          <w:tcPr>
            <w:tcW w:w="1701" w:type="dxa"/>
            <w:tcBorders>
              <w:top w:val="nil"/>
              <w:left w:val="nil"/>
              <w:bottom w:val="single" w:color="auto" w:sz="4" w:space="0"/>
              <w:right w:val="single" w:color="auto" w:sz="4" w:space="0"/>
            </w:tcBorders>
            <w:vAlign w:val="center"/>
          </w:tcPr>
          <w:p w14:paraId="7A366790">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100≤Y＜2000</w:t>
            </w:r>
          </w:p>
        </w:tc>
        <w:tc>
          <w:tcPr>
            <w:tcW w:w="1134" w:type="dxa"/>
            <w:tcBorders>
              <w:top w:val="nil"/>
              <w:left w:val="nil"/>
              <w:bottom w:val="single" w:color="auto" w:sz="4" w:space="0"/>
              <w:right w:val="single" w:color="auto" w:sz="4" w:space="0"/>
            </w:tcBorders>
            <w:vAlign w:val="center"/>
          </w:tcPr>
          <w:p w14:paraId="576E3FBC">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Y＜100</w:t>
            </w:r>
          </w:p>
        </w:tc>
      </w:tr>
      <w:tr w14:paraId="256588F3">
        <w:tblPrEx>
          <w:tblCellMar>
            <w:top w:w="0" w:type="dxa"/>
            <w:left w:w="108" w:type="dxa"/>
            <w:bottom w:w="0" w:type="dxa"/>
            <w:right w:w="108" w:type="dxa"/>
          </w:tblCellMar>
        </w:tblPrEx>
        <w:trPr>
          <w:trHeight w:val="225" w:hRule="atLeast"/>
        </w:trPr>
        <w:tc>
          <w:tcPr>
            <w:tcW w:w="1985" w:type="dxa"/>
            <w:vMerge w:val="restart"/>
            <w:tcBorders>
              <w:top w:val="nil"/>
              <w:left w:val="single" w:color="auto" w:sz="4" w:space="0"/>
              <w:bottom w:val="single" w:color="auto" w:sz="4" w:space="0"/>
              <w:right w:val="single" w:color="auto" w:sz="4" w:space="0"/>
            </w:tcBorders>
            <w:vAlign w:val="bottom"/>
          </w:tcPr>
          <w:p w14:paraId="49171507">
            <w:pPr>
              <w:widowControl/>
              <w:jc w:val="center"/>
              <w:rPr>
                <w:rFonts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信息传输业</w:t>
            </w:r>
          </w:p>
        </w:tc>
        <w:tc>
          <w:tcPr>
            <w:tcW w:w="1984" w:type="dxa"/>
            <w:tcBorders>
              <w:top w:val="nil"/>
              <w:left w:val="nil"/>
              <w:bottom w:val="single" w:color="auto" w:sz="4" w:space="0"/>
              <w:right w:val="single" w:color="auto" w:sz="4" w:space="0"/>
            </w:tcBorders>
            <w:vAlign w:val="center"/>
          </w:tcPr>
          <w:p w14:paraId="602916C6">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从业人员（X）</w:t>
            </w:r>
          </w:p>
        </w:tc>
        <w:tc>
          <w:tcPr>
            <w:tcW w:w="851" w:type="dxa"/>
            <w:tcBorders>
              <w:top w:val="nil"/>
              <w:left w:val="nil"/>
              <w:bottom w:val="single" w:color="auto" w:sz="4" w:space="0"/>
              <w:right w:val="single" w:color="auto" w:sz="4" w:space="0"/>
            </w:tcBorders>
            <w:vAlign w:val="center"/>
          </w:tcPr>
          <w:p w14:paraId="2E855D85">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人</w:t>
            </w:r>
          </w:p>
        </w:tc>
        <w:tc>
          <w:tcPr>
            <w:tcW w:w="1842" w:type="dxa"/>
            <w:tcBorders>
              <w:top w:val="nil"/>
              <w:left w:val="nil"/>
              <w:bottom w:val="single" w:color="auto" w:sz="4" w:space="0"/>
              <w:right w:val="single" w:color="auto" w:sz="4" w:space="0"/>
            </w:tcBorders>
            <w:vAlign w:val="center"/>
          </w:tcPr>
          <w:p w14:paraId="32883717">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100≤X＜2000</w:t>
            </w:r>
          </w:p>
        </w:tc>
        <w:tc>
          <w:tcPr>
            <w:tcW w:w="1701" w:type="dxa"/>
            <w:tcBorders>
              <w:top w:val="nil"/>
              <w:left w:val="nil"/>
              <w:bottom w:val="single" w:color="auto" w:sz="4" w:space="0"/>
              <w:right w:val="single" w:color="auto" w:sz="4" w:space="0"/>
            </w:tcBorders>
            <w:vAlign w:val="center"/>
          </w:tcPr>
          <w:p w14:paraId="33C46FDF">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10≤X＜100</w:t>
            </w:r>
          </w:p>
        </w:tc>
        <w:tc>
          <w:tcPr>
            <w:tcW w:w="1134" w:type="dxa"/>
            <w:tcBorders>
              <w:top w:val="nil"/>
              <w:left w:val="nil"/>
              <w:bottom w:val="single" w:color="auto" w:sz="4" w:space="0"/>
              <w:right w:val="single" w:color="auto" w:sz="4" w:space="0"/>
            </w:tcBorders>
            <w:vAlign w:val="center"/>
          </w:tcPr>
          <w:p w14:paraId="247DAFA5">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X＜10</w:t>
            </w:r>
          </w:p>
        </w:tc>
      </w:tr>
      <w:tr w14:paraId="0E173647">
        <w:tblPrEx>
          <w:tblCellMar>
            <w:top w:w="0" w:type="dxa"/>
            <w:left w:w="108" w:type="dxa"/>
            <w:bottom w:w="0" w:type="dxa"/>
            <w:right w:w="108" w:type="dxa"/>
          </w:tblCellMar>
        </w:tblPrEx>
        <w:trPr>
          <w:trHeight w:val="225" w:hRule="atLeast"/>
        </w:trPr>
        <w:tc>
          <w:tcPr>
            <w:tcW w:w="1985" w:type="dxa"/>
            <w:vMerge w:val="continue"/>
            <w:tcBorders>
              <w:top w:val="nil"/>
              <w:left w:val="single" w:color="auto" w:sz="4" w:space="0"/>
              <w:bottom w:val="single" w:color="auto" w:sz="4" w:space="0"/>
              <w:right w:val="single" w:color="auto" w:sz="4" w:space="0"/>
            </w:tcBorders>
            <w:vAlign w:val="center"/>
          </w:tcPr>
          <w:p w14:paraId="2FF7CCFF">
            <w:pPr>
              <w:widowControl/>
              <w:jc w:val="left"/>
              <w:rPr>
                <w:rFonts w:ascii="宋体" w:hAnsi="宋体" w:cs="宋体"/>
                <w:b/>
                <w:bCs/>
                <w:color w:val="auto"/>
                <w:kern w:val="0"/>
                <w:sz w:val="18"/>
                <w:szCs w:val="18"/>
                <w:highlight w:val="none"/>
              </w:rPr>
            </w:pPr>
          </w:p>
        </w:tc>
        <w:tc>
          <w:tcPr>
            <w:tcW w:w="1984" w:type="dxa"/>
            <w:tcBorders>
              <w:top w:val="nil"/>
              <w:left w:val="nil"/>
              <w:bottom w:val="single" w:color="auto" w:sz="4" w:space="0"/>
              <w:right w:val="single" w:color="auto" w:sz="4" w:space="0"/>
            </w:tcBorders>
            <w:vAlign w:val="center"/>
          </w:tcPr>
          <w:p w14:paraId="6F38354C">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营业收入（Y）</w:t>
            </w:r>
          </w:p>
        </w:tc>
        <w:tc>
          <w:tcPr>
            <w:tcW w:w="851" w:type="dxa"/>
            <w:tcBorders>
              <w:top w:val="nil"/>
              <w:left w:val="nil"/>
              <w:bottom w:val="single" w:color="auto" w:sz="4" w:space="0"/>
              <w:right w:val="single" w:color="auto" w:sz="4" w:space="0"/>
            </w:tcBorders>
            <w:vAlign w:val="center"/>
          </w:tcPr>
          <w:p w14:paraId="33D8FCBC">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万元</w:t>
            </w:r>
          </w:p>
        </w:tc>
        <w:tc>
          <w:tcPr>
            <w:tcW w:w="1842" w:type="dxa"/>
            <w:tcBorders>
              <w:top w:val="nil"/>
              <w:left w:val="nil"/>
              <w:bottom w:val="single" w:color="auto" w:sz="4" w:space="0"/>
              <w:right w:val="single" w:color="auto" w:sz="4" w:space="0"/>
            </w:tcBorders>
            <w:vAlign w:val="center"/>
          </w:tcPr>
          <w:p w14:paraId="55229EB9">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1000≤Y＜100000</w:t>
            </w:r>
          </w:p>
        </w:tc>
        <w:tc>
          <w:tcPr>
            <w:tcW w:w="1701" w:type="dxa"/>
            <w:tcBorders>
              <w:top w:val="nil"/>
              <w:left w:val="nil"/>
              <w:bottom w:val="single" w:color="auto" w:sz="4" w:space="0"/>
              <w:right w:val="single" w:color="auto" w:sz="4" w:space="0"/>
            </w:tcBorders>
            <w:vAlign w:val="center"/>
          </w:tcPr>
          <w:p w14:paraId="5FF7E351">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100≤Y＜1000</w:t>
            </w:r>
          </w:p>
        </w:tc>
        <w:tc>
          <w:tcPr>
            <w:tcW w:w="1134" w:type="dxa"/>
            <w:tcBorders>
              <w:top w:val="nil"/>
              <w:left w:val="nil"/>
              <w:bottom w:val="single" w:color="auto" w:sz="4" w:space="0"/>
              <w:right w:val="single" w:color="auto" w:sz="4" w:space="0"/>
            </w:tcBorders>
            <w:vAlign w:val="center"/>
          </w:tcPr>
          <w:p w14:paraId="6D52485D">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Y＜100</w:t>
            </w:r>
          </w:p>
        </w:tc>
      </w:tr>
      <w:tr w14:paraId="3AF6C06C">
        <w:tblPrEx>
          <w:tblCellMar>
            <w:top w:w="0" w:type="dxa"/>
            <w:left w:w="108" w:type="dxa"/>
            <w:bottom w:w="0" w:type="dxa"/>
            <w:right w:w="108" w:type="dxa"/>
          </w:tblCellMar>
        </w:tblPrEx>
        <w:trPr>
          <w:trHeight w:val="225" w:hRule="atLeast"/>
        </w:trPr>
        <w:tc>
          <w:tcPr>
            <w:tcW w:w="1985" w:type="dxa"/>
            <w:vMerge w:val="restart"/>
            <w:tcBorders>
              <w:top w:val="nil"/>
              <w:left w:val="single" w:color="auto" w:sz="4" w:space="0"/>
              <w:bottom w:val="single" w:color="auto" w:sz="4" w:space="0"/>
              <w:right w:val="single" w:color="auto" w:sz="4" w:space="0"/>
            </w:tcBorders>
            <w:vAlign w:val="bottom"/>
          </w:tcPr>
          <w:p w14:paraId="3C38EA88">
            <w:pPr>
              <w:widowControl/>
              <w:jc w:val="center"/>
              <w:rPr>
                <w:rFonts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软件和信息技术服务业</w:t>
            </w:r>
          </w:p>
        </w:tc>
        <w:tc>
          <w:tcPr>
            <w:tcW w:w="1984" w:type="dxa"/>
            <w:tcBorders>
              <w:top w:val="nil"/>
              <w:left w:val="nil"/>
              <w:bottom w:val="single" w:color="auto" w:sz="4" w:space="0"/>
              <w:right w:val="single" w:color="auto" w:sz="4" w:space="0"/>
            </w:tcBorders>
            <w:vAlign w:val="center"/>
          </w:tcPr>
          <w:p w14:paraId="6DD1A186">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从业人员（X）</w:t>
            </w:r>
          </w:p>
        </w:tc>
        <w:tc>
          <w:tcPr>
            <w:tcW w:w="851" w:type="dxa"/>
            <w:tcBorders>
              <w:top w:val="nil"/>
              <w:left w:val="nil"/>
              <w:bottom w:val="single" w:color="auto" w:sz="4" w:space="0"/>
              <w:right w:val="single" w:color="auto" w:sz="4" w:space="0"/>
            </w:tcBorders>
            <w:vAlign w:val="center"/>
          </w:tcPr>
          <w:p w14:paraId="4FBF5510">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人</w:t>
            </w:r>
          </w:p>
        </w:tc>
        <w:tc>
          <w:tcPr>
            <w:tcW w:w="1842" w:type="dxa"/>
            <w:tcBorders>
              <w:top w:val="nil"/>
              <w:left w:val="nil"/>
              <w:bottom w:val="single" w:color="auto" w:sz="4" w:space="0"/>
              <w:right w:val="single" w:color="auto" w:sz="4" w:space="0"/>
            </w:tcBorders>
            <w:vAlign w:val="center"/>
          </w:tcPr>
          <w:p w14:paraId="40B66508">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100≤X＜300</w:t>
            </w:r>
          </w:p>
        </w:tc>
        <w:tc>
          <w:tcPr>
            <w:tcW w:w="1701" w:type="dxa"/>
            <w:tcBorders>
              <w:top w:val="nil"/>
              <w:left w:val="nil"/>
              <w:bottom w:val="single" w:color="auto" w:sz="4" w:space="0"/>
              <w:right w:val="single" w:color="auto" w:sz="4" w:space="0"/>
            </w:tcBorders>
            <w:vAlign w:val="center"/>
          </w:tcPr>
          <w:p w14:paraId="37FF47A7">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10≤X＜100</w:t>
            </w:r>
          </w:p>
        </w:tc>
        <w:tc>
          <w:tcPr>
            <w:tcW w:w="1134" w:type="dxa"/>
            <w:tcBorders>
              <w:top w:val="nil"/>
              <w:left w:val="nil"/>
              <w:bottom w:val="single" w:color="auto" w:sz="4" w:space="0"/>
              <w:right w:val="single" w:color="auto" w:sz="4" w:space="0"/>
            </w:tcBorders>
            <w:vAlign w:val="center"/>
          </w:tcPr>
          <w:p w14:paraId="1DFB6AEF">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X＜10</w:t>
            </w:r>
          </w:p>
        </w:tc>
      </w:tr>
      <w:tr w14:paraId="0DCBD23F">
        <w:tblPrEx>
          <w:tblCellMar>
            <w:top w:w="0" w:type="dxa"/>
            <w:left w:w="108" w:type="dxa"/>
            <w:bottom w:w="0" w:type="dxa"/>
            <w:right w:w="108" w:type="dxa"/>
          </w:tblCellMar>
        </w:tblPrEx>
        <w:trPr>
          <w:trHeight w:val="225" w:hRule="atLeast"/>
        </w:trPr>
        <w:tc>
          <w:tcPr>
            <w:tcW w:w="1985" w:type="dxa"/>
            <w:vMerge w:val="continue"/>
            <w:tcBorders>
              <w:top w:val="nil"/>
              <w:left w:val="single" w:color="auto" w:sz="4" w:space="0"/>
              <w:bottom w:val="single" w:color="auto" w:sz="4" w:space="0"/>
              <w:right w:val="single" w:color="auto" w:sz="4" w:space="0"/>
            </w:tcBorders>
            <w:vAlign w:val="center"/>
          </w:tcPr>
          <w:p w14:paraId="5FF10CAF">
            <w:pPr>
              <w:widowControl/>
              <w:jc w:val="left"/>
              <w:rPr>
                <w:rFonts w:ascii="宋体" w:hAnsi="宋体" w:cs="宋体"/>
                <w:b/>
                <w:bCs/>
                <w:color w:val="auto"/>
                <w:kern w:val="0"/>
                <w:sz w:val="18"/>
                <w:szCs w:val="18"/>
                <w:highlight w:val="none"/>
              </w:rPr>
            </w:pPr>
          </w:p>
        </w:tc>
        <w:tc>
          <w:tcPr>
            <w:tcW w:w="1984" w:type="dxa"/>
            <w:tcBorders>
              <w:top w:val="nil"/>
              <w:left w:val="nil"/>
              <w:bottom w:val="single" w:color="auto" w:sz="4" w:space="0"/>
              <w:right w:val="single" w:color="auto" w:sz="4" w:space="0"/>
            </w:tcBorders>
            <w:vAlign w:val="center"/>
          </w:tcPr>
          <w:p w14:paraId="18FB0D44">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营业收入（Y）</w:t>
            </w:r>
          </w:p>
        </w:tc>
        <w:tc>
          <w:tcPr>
            <w:tcW w:w="851" w:type="dxa"/>
            <w:tcBorders>
              <w:top w:val="nil"/>
              <w:left w:val="nil"/>
              <w:bottom w:val="single" w:color="auto" w:sz="4" w:space="0"/>
              <w:right w:val="single" w:color="auto" w:sz="4" w:space="0"/>
            </w:tcBorders>
            <w:vAlign w:val="center"/>
          </w:tcPr>
          <w:p w14:paraId="6A7A93D3">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万元</w:t>
            </w:r>
          </w:p>
        </w:tc>
        <w:tc>
          <w:tcPr>
            <w:tcW w:w="1842" w:type="dxa"/>
            <w:tcBorders>
              <w:top w:val="nil"/>
              <w:left w:val="nil"/>
              <w:bottom w:val="single" w:color="auto" w:sz="4" w:space="0"/>
              <w:right w:val="single" w:color="auto" w:sz="4" w:space="0"/>
            </w:tcBorders>
            <w:vAlign w:val="center"/>
          </w:tcPr>
          <w:p w14:paraId="47C814A7">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1000≤Y＜10000</w:t>
            </w:r>
          </w:p>
        </w:tc>
        <w:tc>
          <w:tcPr>
            <w:tcW w:w="1701" w:type="dxa"/>
            <w:tcBorders>
              <w:top w:val="nil"/>
              <w:left w:val="nil"/>
              <w:bottom w:val="single" w:color="auto" w:sz="4" w:space="0"/>
              <w:right w:val="single" w:color="auto" w:sz="4" w:space="0"/>
            </w:tcBorders>
            <w:vAlign w:val="center"/>
          </w:tcPr>
          <w:p w14:paraId="20F7BE6D">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50≤Y＜1000</w:t>
            </w:r>
          </w:p>
        </w:tc>
        <w:tc>
          <w:tcPr>
            <w:tcW w:w="1134" w:type="dxa"/>
            <w:tcBorders>
              <w:top w:val="nil"/>
              <w:left w:val="nil"/>
              <w:bottom w:val="single" w:color="auto" w:sz="4" w:space="0"/>
              <w:right w:val="single" w:color="auto" w:sz="4" w:space="0"/>
            </w:tcBorders>
            <w:vAlign w:val="center"/>
          </w:tcPr>
          <w:p w14:paraId="31A1B15D">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Y＜50</w:t>
            </w:r>
          </w:p>
        </w:tc>
      </w:tr>
      <w:tr w14:paraId="33FA74EF">
        <w:tblPrEx>
          <w:tblCellMar>
            <w:top w:w="0" w:type="dxa"/>
            <w:left w:w="108" w:type="dxa"/>
            <w:bottom w:w="0" w:type="dxa"/>
            <w:right w:w="108" w:type="dxa"/>
          </w:tblCellMar>
        </w:tblPrEx>
        <w:trPr>
          <w:trHeight w:val="225" w:hRule="atLeast"/>
        </w:trPr>
        <w:tc>
          <w:tcPr>
            <w:tcW w:w="1985" w:type="dxa"/>
            <w:vMerge w:val="restart"/>
            <w:tcBorders>
              <w:top w:val="nil"/>
              <w:left w:val="single" w:color="auto" w:sz="4" w:space="0"/>
              <w:bottom w:val="single" w:color="auto" w:sz="4" w:space="0"/>
              <w:right w:val="single" w:color="auto" w:sz="4" w:space="0"/>
            </w:tcBorders>
            <w:vAlign w:val="bottom"/>
          </w:tcPr>
          <w:p w14:paraId="67F01965">
            <w:pPr>
              <w:widowControl/>
              <w:jc w:val="center"/>
              <w:rPr>
                <w:rFonts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房地产开发经营</w:t>
            </w:r>
          </w:p>
        </w:tc>
        <w:tc>
          <w:tcPr>
            <w:tcW w:w="1984" w:type="dxa"/>
            <w:tcBorders>
              <w:top w:val="nil"/>
              <w:left w:val="nil"/>
              <w:bottom w:val="single" w:color="auto" w:sz="4" w:space="0"/>
              <w:right w:val="single" w:color="auto" w:sz="4" w:space="0"/>
            </w:tcBorders>
            <w:vAlign w:val="center"/>
          </w:tcPr>
          <w:p w14:paraId="781DBF58">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营业收入（Y）</w:t>
            </w:r>
          </w:p>
        </w:tc>
        <w:tc>
          <w:tcPr>
            <w:tcW w:w="851" w:type="dxa"/>
            <w:tcBorders>
              <w:top w:val="nil"/>
              <w:left w:val="nil"/>
              <w:bottom w:val="single" w:color="auto" w:sz="4" w:space="0"/>
              <w:right w:val="single" w:color="auto" w:sz="4" w:space="0"/>
            </w:tcBorders>
            <w:vAlign w:val="center"/>
          </w:tcPr>
          <w:p w14:paraId="5AF5C55E">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万元</w:t>
            </w:r>
          </w:p>
        </w:tc>
        <w:tc>
          <w:tcPr>
            <w:tcW w:w="1842" w:type="dxa"/>
            <w:tcBorders>
              <w:top w:val="nil"/>
              <w:left w:val="nil"/>
              <w:bottom w:val="single" w:color="auto" w:sz="4" w:space="0"/>
              <w:right w:val="single" w:color="auto" w:sz="4" w:space="0"/>
            </w:tcBorders>
            <w:vAlign w:val="center"/>
          </w:tcPr>
          <w:p w14:paraId="4D3DCF4A">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1000≤Y＜200000</w:t>
            </w:r>
          </w:p>
        </w:tc>
        <w:tc>
          <w:tcPr>
            <w:tcW w:w="1701" w:type="dxa"/>
            <w:tcBorders>
              <w:top w:val="nil"/>
              <w:left w:val="nil"/>
              <w:bottom w:val="single" w:color="auto" w:sz="4" w:space="0"/>
              <w:right w:val="single" w:color="auto" w:sz="4" w:space="0"/>
            </w:tcBorders>
            <w:vAlign w:val="center"/>
          </w:tcPr>
          <w:p w14:paraId="16A1D8C2">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100≤X＜1000</w:t>
            </w:r>
          </w:p>
        </w:tc>
        <w:tc>
          <w:tcPr>
            <w:tcW w:w="1134" w:type="dxa"/>
            <w:tcBorders>
              <w:top w:val="nil"/>
              <w:left w:val="nil"/>
              <w:bottom w:val="single" w:color="auto" w:sz="4" w:space="0"/>
              <w:right w:val="single" w:color="auto" w:sz="4" w:space="0"/>
            </w:tcBorders>
            <w:vAlign w:val="center"/>
          </w:tcPr>
          <w:p w14:paraId="3977CDC2">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X＜100</w:t>
            </w:r>
          </w:p>
        </w:tc>
      </w:tr>
      <w:tr w14:paraId="0F82D5FE">
        <w:tblPrEx>
          <w:tblCellMar>
            <w:top w:w="0" w:type="dxa"/>
            <w:left w:w="108" w:type="dxa"/>
            <w:bottom w:w="0" w:type="dxa"/>
            <w:right w:w="108" w:type="dxa"/>
          </w:tblCellMar>
        </w:tblPrEx>
        <w:trPr>
          <w:trHeight w:val="225" w:hRule="atLeast"/>
        </w:trPr>
        <w:tc>
          <w:tcPr>
            <w:tcW w:w="1985" w:type="dxa"/>
            <w:vMerge w:val="continue"/>
            <w:tcBorders>
              <w:top w:val="nil"/>
              <w:left w:val="single" w:color="auto" w:sz="4" w:space="0"/>
              <w:bottom w:val="single" w:color="auto" w:sz="4" w:space="0"/>
              <w:right w:val="single" w:color="auto" w:sz="4" w:space="0"/>
            </w:tcBorders>
            <w:vAlign w:val="center"/>
          </w:tcPr>
          <w:p w14:paraId="354383D2">
            <w:pPr>
              <w:widowControl/>
              <w:jc w:val="left"/>
              <w:rPr>
                <w:rFonts w:ascii="宋体" w:hAnsi="宋体" w:cs="宋体"/>
                <w:b/>
                <w:bCs/>
                <w:color w:val="auto"/>
                <w:kern w:val="0"/>
                <w:sz w:val="18"/>
                <w:szCs w:val="18"/>
                <w:highlight w:val="none"/>
              </w:rPr>
            </w:pPr>
          </w:p>
        </w:tc>
        <w:tc>
          <w:tcPr>
            <w:tcW w:w="1984" w:type="dxa"/>
            <w:tcBorders>
              <w:top w:val="nil"/>
              <w:left w:val="nil"/>
              <w:bottom w:val="single" w:color="auto" w:sz="4" w:space="0"/>
              <w:right w:val="single" w:color="auto" w:sz="4" w:space="0"/>
            </w:tcBorders>
            <w:vAlign w:val="center"/>
          </w:tcPr>
          <w:p w14:paraId="14C522CD">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资产总额（Z）</w:t>
            </w:r>
          </w:p>
        </w:tc>
        <w:tc>
          <w:tcPr>
            <w:tcW w:w="851" w:type="dxa"/>
            <w:tcBorders>
              <w:top w:val="nil"/>
              <w:left w:val="nil"/>
              <w:bottom w:val="single" w:color="auto" w:sz="4" w:space="0"/>
              <w:right w:val="single" w:color="auto" w:sz="4" w:space="0"/>
            </w:tcBorders>
            <w:vAlign w:val="center"/>
          </w:tcPr>
          <w:p w14:paraId="34BD2729">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万元</w:t>
            </w:r>
          </w:p>
        </w:tc>
        <w:tc>
          <w:tcPr>
            <w:tcW w:w="1842" w:type="dxa"/>
            <w:tcBorders>
              <w:top w:val="nil"/>
              <w:left w:val="nil"/>
              <w:bottom w:val="single" w:color="auto" w:sz="4" w:space="0"/>
              <w:right w:val="single" w:color="auto" w:sz="4" w:space="0"/>
            </w:tcBorders>
            <w:vAlign w:val="center"/>
          </w:tcPr>
          <w:p w14:paraId="70D90456">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5000≤Z＜10000</w:t>
            </w:r>
          </w:p>
        </w:tc>
        <w:tc>
          <w:tcPr>
            <w:tcW w:w="1701" w:type="dxa"/>
            <w:tcBorders>
              <w:top w:val="nil"/>
              <w:left w:val="nil"/>
              <w:bottom w:val="single" w:color="auto" w:sz="4" w:space="0"/>
              <w:right w:val="single" w:color="auto" w:sz="4" w:space="0"/>
            </w:tcBorders>
            <w:vAlign w:val="center"/>
          </w:tcPr>
          <w:p w14:paraId="54839FB7">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2000≤Y＜5000</w:t>
            </w:r>
          </w:p>
        </w:tc>
        <w:tc>
          <w:tcPr>
            <w:tcW w:w="1134" w:type="dxa"/>
            <w:tcBorders>
              <w:top w:val="nil"/>
              <w:left w:val="nil"/>
              <w:bottom w:val="single" w:color="auto" w:sz="4" w:space="0"/>
              <w:right w:val="single" w:color="auto" w:sz="4" w:space="0"/>
            </w:tcBorders>
            <w:vAlign w:val="center"/>
          </w:tcPr>
          <w:p w14:paraId="410CFAEE">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Y＜2000</w:t>
            </w:r>
          </w:p>
        </w:tc>
      </w:tr>
      <w:tr w14:paraId="391A498D">
        <w:tblPrEx>
          <w:tblCellMar>
            <w:top w:w="0" w:type="dxa"/>
            <w:left w:w="108" w:type="dxa"/>
            <w:bottom w:w="0" w:type="dxa"/>
            <w:right w:w="108" w:type="dxa"/>
          </w:tblCellMar>
        </w:tblPrEx>
        <w:trPr>
          <w:trHeight w:val="225" w:hRule="atLeast"/>
        </w:trPr>
        <w:tc>
          <w:tcPr>
            <w:tcW w:w="1985" w:type="dxa"/>
            <w:vMerge w:val="restart"/>
            <w:tcBorders>
              <w:top w:val="nil"/>
              <w:left w:val="single" w:color="auto" w:sz="4" w:space="0"/>
              <w:bottom w:val="single" w:color="auto" w:sz="4" w:space="0"/>
              <w:right w:val="single" w:color="auto" w:sz="4" w:space="0"/>
            </w:tcBorders>
            <w:vAlign w:val="bottom"/>
          </w:tcPr>
          <w:p w14:paraId="0E489FAD">
            <w:pPr>
              <w:widowControl/>
              <w:jc w:val="center"/>
              <w:rPr>
                <w:rFonts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物业管理</w:t>
            </w:r>
          </w:p>
        </w:tc>
        <w:tc>
          <w:tcPr>
            <w:tcW w:w="1984" w:type="dxa"/>
            <w:tcBorders>
              <w:top w:val="nil"/>
              <w:left w:val="nil"/>
              <w:bottom w:val="single" w:color="auto" w:sz="4" w:space="0"/>
              <w:right w:val="single" w:color="auto" w:sz="4" w:space="0"/>
            </w:tcBorders>
            <w:vAlign w:val="center"/>
          </w:tcPr>
          <w:p w14:paraId="317B4A61">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从业人员（X）</w:t>
            </w:r>
          </w:p>
        </w:tc>
        <w:tc>
          <w:tcPr>
            <w:tcW w:w="851" w:type="dxa"/>
            <w:tcBorders>
              <w:top w:val="nil"/>
              <w:left w:val="nil"/>
              <w:bottom w:val="single" w:color="auto" w:sz="4" w:space="0"/>
              <w:right w:val="single" w:color="auto" w:sz="4" w:space="0"/>
            </w:tcBorders>
            <w:vAlign w:val="center"/>
          </w:tcPr>
          <w:p w14:paraId="3539DEEF">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人</w:t>
            </w:r>
          </w:p>
        </w:tc>
        <w:tc>
          <w:tcPr>
            <w:tcW w:w="1842" w:type="dxa"/>
            <w:tcBorders>
              <w:top w:val="nil"/>
              <w:left w:val="nil"/>
              <w:bottom w:val="single" w:color="auto" w:sz="4" w:space="0"/>
              <w:right w:val="single" w:color="auto" w:sz="4" w:space="0"/>
            </w:tcBorders>
            <w:vAlign w:val="center"/>
          </w:tcPr>
          <w:p w14:paraId="28BC8FC1">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300≤X＜1000</w:t>
            </w:r>
          </w:p>
        </w:tc>
        <w:tc>
          <w:tcPr>
            <w:tcW w:w="1701" w:type="dxa"/>
            <w:tcBorders>
              <w:top w:val="nil"/>
              <w:left w:val="nil"/>
              <w:bottom w:val="single" w:color="auto" w:sz="4" w:space="0"/>
              <w:right w:val="single" w:color="auto" w:sz="4" w:space="0"/>
            </w:tcBorders>
            <w:vAlign w:val="center"/>
          </w:tcPr>
          <w:p w14:paraId="60219843">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100≤X＜300</w:t>
            </w:r>
          </w:p>
        </w:tc>
        <w:tc>
          <w:tcPr>
            <w:tcW w:w="1134" w:type="dxa"/>
            <w:tcBorders>
              <w:top w:val="nil"/>
              <w:left w:val="nil"/>
              <w:bottom w:val="single" w:color="auto" w:sz="4" w:space="0"/>
              <w:right w:val="single" w:color="auto" w:sz="4" w:space="0"/>
            </w:tcBorders>
            <w:vAlign w:val="center"/>
          </w:tcPr>
          <w:p w14:paraId="7A4DE08E">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X＜100</w:t>
            </w:r>
          </w:p>
        </w:tc>
      </w:tr>
      <w:tr w14:paraId="2ECEFC83">
        <w:tblPrEx>
          <w:tblCellMar>
            <w:top w:w="0" w:type="dxa"/>
            <w:left w:w="108" w:type="dxa"/>
            <w:bottom w:w="0" w:type="dxa"/>
            <w:right w:w="108" w:type="dxa"/>
          </w:tblCellMar>
        </w:tblPrEx>
        <w:trPr>
          <w:trHeight w:val="225" w:hRule="atLeast"/>
        </w:trPr>
        <w:tc>
          <w:tcPr>
            <w:tcW w:w="1985" w:type="dxa"/>
            <w:vMerge w:val="continue"/>
            <w:tcBorders>
              <w:top w:val="nil"/>
              <w:left w:val="single" w:color="auto" w:sz="4" w:space="0"/>
              <w:bottom w:val="single" w:color="auto" w:sz="4" w:space="0"/>
              <w:right w:val="single" w:color="auto" w:sz="4" w:space="0"/>
            </w:tcBorders>
            <w:vAlign w:val="center"/>
          </w:tcPr>
          <w:p w14:paraId="31D2803E">
            <w:pPr>
              <w:widowControl/>
              <w:jc w:val="left"/>
              <w:rPr>
                <w:rFonts w:ascii="宋体" w:hAnsi="宋体" w:cs="宋体"/>
                <w:b/>
                <w:bCs/>
                <w:color w:val="auto"/>
                <w:kern w:val="0"/>
                <w:sz w:val="18"/>
                <w:szCs w:val="18"/>
                <w:highlight w:val="none"/>
              </w:rPr>
            </w:pPr>
          </w:p>
        </w:tc>
        <w:tc>
          <w:tcPr>
            <w:tcW w:w="1984" w:type="dxa"/>
            <w:tcBorders>
              <w:top w:val="nil"/>
              <w:left w:val="nil"/>
              <w:bottom w:val="single" w:color="auto" w:sz="4" w:space="0"/>
              <w:right w:val="single" w:color="auto" w:sz="4" w:space="0"/>
            </w:tcBorders>
            <w:vAlign w:val="center"/>
          </w:tcPr>
          <w:p w14:paraId="149B1B89">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营业收入（Y）</w:t>
            </w:r>
          </w:p>
        </w:tc>
        <w:tc>
          <w:tcPr>
            <w:tcW w:w="851" w:type="dxa"/>
            <w:tcBorders>
              <w:top w:val="nil"/>
              <w:left w:val="nil"/>
              <w:bottom w:val="single" w:color="auto" w:sz="4" w:space="0"/>
              <w:right w:val="single" w:color="auto" w:sz="4" w:space="0"/>
            </w:tcBorders>
            <w:vAlign w:val="center"/>
          </w:tcPr>
          <w:p w14:paraId="3FDEAF05">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万元</w:t>
            </w:r>
          </w:p>
        </w:tc>
        <w:tc>
          <w:tcPr>
            <w:tcW w:w="1842" w:type="dxa"/>
            <w:tcBorders>
              <w:top w:val="nil"/>
              <w:left w:val="nil"/>
              <w:bottom w:val="single" w:color="auto" w:sz="4" w:space="0"/>
              <w:right w:val="single" w:color="auto" w:sz="4" w:space="0"/>
            </w:tcBorders>
            <w:vAlign w:val="center"/>
          </w:tcPr>
          <w:p w14:paraId="68448ADF">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1000≤Y＜5000</w:t>
            </w:r>
          </w:p>
        </w:tc>
        <w:tc>
          <w:tcPr>
            <w:tcW w:w="1701" w:type="dxa"/>
            <w:tcBorders>
              <w:top w:val="nil"/>
              <w:left w:val="nil"/>
              <w:bottom w:val="single" w:color="auto" w:sz="4" w:space="0"/>
              <w:right w:val="single" w:color="auto" w:sz="4" w:space="0"/>
            </w:tcBorders>
            <w:vAlign w:val="center"/>
          </w:tcPr>
          <w:p w14:paraId="2EBB57BB">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500≤Y＜1000</w:t>
            </w:r>
          </w:p>
        </w:tc>
        <w:tc>
          <w:tcPr>
            <w:tcW w:w="1134" w:type="dxa"/>
            <w:tcBorders>
              <w:top w:val="nil"/>
              <w:left w:val="nil"/>
              <w:bottom w:val="single" w:color="auto" w:sz="4" w:space="0"/>
              <w:right w:val="single" w:color="auto" w:sz="4" w:space="0"/>
            </w:tcBorders>
            <w:vAlign w:val="center"/>
          </w:tcPr>
          <w:p w14:paraId="4D26568A">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Y＜500</w:t>
            </w:r>
          </w:p>
        </w:tc>
      </w:tr>
      <w:tr w14:paraId="50B33DCF">
        <w:tblPrEx>
          <w:tblCellMar>
            <w:top w:w="0" w:type="dxa"/>
            <w:left w:w="108" w:type="dxa"/>
            <w:bottom w:w="0" w:type="dxa"/>
            <w:right w:w="108" w:type="dxa"/>
          </w:tblCellMar>
        </w:tblPrEx>
        <w:trPr>
          <w:trHeight w:val="225" w:hRule="atLeast"/>
        </w:trPr>
        <w:tc>
          <w:tcPr>
            <w:tcW w:w="1985" w:type="dxa"/>
            <w:vMerge w:val="restart"/>
            <w:tcBorders>
              <w:top w:val="nil"/>
              <w:left w:val="single" w:color="auto" w:sz="4" w:space="0"/>
              <w:bottom w:val="single" w:color="auto" w:sz="4" w:space="0"/>
              <w:right w:val="single" w:color="auto" w:sz="4" w:space="0"/>
            </w:tcBorders>
            <w:vAlign w:val="bottom"/>
          </w:tcPr>
          <w:p w14:paraId="5912A661">
            <w:pPr>
              <w:widowControl/>
              <w:rPr>
                <w:rFonts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租赁和商务服务业</w:t>
            </w:r>
          </w:p>
        </w:tc>
        <w:tc>
          <w:tcPr>
            <w:tcW w:w="1984" w:type="dxa"/>
            <w:tcBorders>
              <w:top w:val="nil"/>
              <w:left w:val="nil"/>
              <w:bottom w:val="single" w:color="auto" w:sz="4" w:space="0"/>
              <w:right w:val="single" w:color="auto" w:sz="4" w:space="0"/>
            </w:tcBorders>
            <w:vAlign w:val="center"/>
          </w:tcPr>
          <w:p w14:paraId="265CAC7F">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从业人员（X）</w:t>
            </w:r>
          </w:p>
        </w:tc>
        <w:tc>
          <w:tcPr>
            <w:tcW w:w="851" w:type="dxa"/>
            <w:tcBorders>
              <w:top w:val="nil"/>
              <w:left w:val="nil"/>
              <w:bottom w:val="single" w:color="auto" w:sz="4" w:space="0"/>
              <w:right w:val="single" w:color="auto" w:sz="4" w:space="0"/>
            </w:tcBorders>
            <w:vAlign w:val="center"/>
          </w:tcPr>
          <w:p w14:paraId="0C84D82E">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人</w:t>
            </w:r>
          </w:p>
        </w:tc>
        <w:tc>
          <w:tcPr>
            <w:tcW w:w="1842" w:type="dxa"/>
            <w:tcBorders>
              <w:top w:val="nil"/>
              <w:left w:val="nil"/>
              <w:bottom w:val="single" w:color="auto" w:sz="4" w:space="0"/>
              <w:right w:val="single" w:color="auto" w:sz="4" w:space="0"/>
            </w:tcBorders>
            <w:vAlign w:val="center"/>
          </w:tcPr>
          <w:p w14:paraId="64462966">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100≤X＜300</w:t>
            </w:r>
          </w:p>
        </w:tc>
        <w:tc>
          <w:tcPr>
            <w:tcW w:w="1701" w:type="dxa"/>
            <w:tcBorders>
              <w:top w:val="nil"/>
              <w:left w:val="nil"/>
              <w:bottom w:val="single" w:color="auto" w:sz="4" w:space="0"/>
              <w:right w:val="single" w:color="auto" w:sz="4" w:space="0"/>
            </w:tcBorders>
            <w:vAlign w:val="center"/>
          </w:tcPr>
          <w:p w14:paraId="4A4EE50B">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10≤X＜100</w:t>
            </w:r>
          </w:p>
        </w:tc>
        <w:tc>
          <w:tcPr>
            <w:tcW w:w="1134" w:type="dxa"/>
            <w:tcBorders>
              <w:top w:val="nil"/>
              <w:left w:val="nil"/>
              <w:bottom w:val="single" w:color="auto" w:sz="4" w:space="0"/>
              <w:right w:val="single" w:color="auto" w:sz="4" w:space="0"/>
            </w:tcBorders>
            <w:vAlign w:val="center"/>
          </w:tcPr>
          <w:p w14:paraId="70ABEE21">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X＜10</w:t>
            </w:r>
          </w:p>
        </w:tc>
      </w:tr>
      <w:tr w14:paraId="77F7E637">
        <w:tblPrEx>
          <w:tblCellMar>
            <w:top w:w="0" w:type="dxa"/>
            <w:left w:w="108" w:type="dxa"/>
            <w:bottom w:w="0" w:type="dxa"/>
            <w:right w:w="108" w:type="dxa"/>
          </w:tblCellMar>
        </w:tblPrEx>
        <w:trPr>
          <w:trHeight w:val="225" w:hRule="atLeast"/>
        </w:trPr>
        <w:tc>
          <w:tcPr>
            <w:tcW w:w="1985" w:type="dxa"/>
            <w:vMerge w:val="continue"/>
            <w:tcBorders>
              <w:top w:val="nil"/>
              <w:left w:val="single" w:color="auto" w:sz="4" w:space="0"/>
              <w:bottom w:val="single" w:color="auto" w:sz="4" w:space="0"/>
              <w:right w:val="single" w:color="auto" w:sz="4" w:space="0"/>
            </w:tcBorders>
            <w:vAlign w:val="center"/>
          </w:tcPr>
          <w:p w14:paraId="269ED3B2">
            <w:pPr>
              <w:widowControl/>
              <w:jc w:val="left"/>
              <w:rPr>
                <w:rFonts w:ascii="宋体" w:hAnsi="宋体" w:cs="宋体"/>
                <w:b/>
                <w:bCs/>
                <w:color w:val="auto"/>
                <w:kern w:val="0"/>
                <w:sz w:val="18"/>
                <w:szCs w:val="18"/>
                <w:highlight w:val="none"/>
              </w:rPr>
            </w:pPr>
          </w:p>
        </w:tc>
        <w:tc>
          <w:tcPr>
            <w:tcW w:w="1984" w:type="dxa"/>
            <w:tcBorders>
              <w:top w:val="nil"/>
              <w:left w:val="nil"/>
              <w:bottom w:val="single" w:color="auto" w:sz="4" w:space="0"/>
              <w:right w:val="single" w:color="auto" w:sz="4" w:space="0"/>
            </w:tcBorders>
            <w:vAlign w:val="center"/>
          </w:tcPr>
          <w:p w14:paraId="3EAD92CA">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资产总额（Z）</w:t>
            </w:r>
          </w:p>
        </w:tc>
        <w:tc>
          <w:tcPr>
            <w:tcW w:w="851" w:type="dxa"/>
            <w:tcBorders>
              <w:top w:val="nil"/>
              <w:left w:val="nil"/>
              <w:bottom w:val="single" w:color="auto" w:sz="4" w:space="0"/>
              <w:right w:val="single" w:color="auto" w:sz="4" w:space="0"/>
            </w:tcBorders>
            <w:vAlign w:val="center"/>
          </w:tcPr>
          <w:p w14:paraId="0E1FBDB8">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万元</w:t>
            </w:r>
          </w:p>
        </w:tc>
        <w:tc>
          <w:tcPr>
            <w:tcW w:w="1842" w:type="dxa"/>
            <w:tcBorders>
              <w:top w:val="nil"/>
              <w:left w:val="nil"/>
              <w:bottom w:val="single" w:color="auto" w:sz="4" w:space="0"/>
              <w:right w:val="single" w:color="auto" w:sz="4" w:space="0"/>
            </w:tcBorders>
            <w:vAlign w:val="center"/>
          </w:tcPr>
          <w:p w14:paraId="3B09C1D7">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8000≤Z＜120000</w:t>
            </w:r>
          </w:p>
        </w:tc>
        <w:tc>
          <w:tcPr>
            <w:tcW w:w="1701" w:type="dxa"/>
            <w:tcBorders>
              <w:top w:val="nil"/>
              <w:left w:val="nil"/>
              <w:bottom w:val="single" w:color="auto" w:sz="4" w:space="0"/>
              <w:right w:val="single" w:color="auto" w:sz="4" w:space="0"/>
            </w:tcBorders>
            <w:vAlign w:val="center"/>
          </w:tcPr>
          <w:p w14:paraId="0A126A59">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100≤Z＜8000</w:t>
            </w:r>
          </w:p>
        </w:tc>
        <w:tc>
          <w:tcPr>
            <w:tcW w:w="1134" w:type="dxa"/>
            <w:tcBorders>
              <w:top w:val="nil"/>
              <w:left w:val="nil"/>
              <w:bottom w:val="single" w:color="auto" w:sz="4" w:space="0"/>
              <w:right w:val="single" w:color="auto" w:sz="4" w:space="0"/>
            </w:tcBorders>
            <w:vAlign w:val="center"/>
          </w:tcPr>
          <w:p w14:paraId="62B7682C">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Y＜100</w:t>
            </w:r>
          </w:p>
        </w:tc>
      </w:tr>
      <w:tr w14:paraId="22E961FC">
        <w:tblPrEx>
          <w:tblCellMar>
            <w:top w:w="0" w:type="dxa"/>
            <w:left w:w="108" w:type="dxa"/>
            <w:bottom w:w="0" w:type="dxa"/>
            <w:right w:w="108" w:type="dxa"/>
          </w:tblCellMar>
        </w:tblPrEx>
        <w:trPr>
          <w:trHeight w:val="225" w:hRule="atLeast"/>
        </w:trPr>
        <w:tc>
          <w:tcPr>
            <w:tcW w:w="1985" w:type="dxa"/>
            <w:tcBorders>
              <w:top w:val="nil"/>
              <w:left w:val="single" w:color="auto" w:sz="4" w:space="0"/>
              <w:bottom w:val="single" w:color="auto" w:sz="4" w:space="0"/>
              <w:right w:val="single" w:color="auto" w:sz="4" w:space="0"/>
            </w:tcBorders>
            <w:vAlign w:val="bottom"/>
          </w:tcPr>
          <w:p w14:paraId="1752CBA5">
            <w:pPr>
              <w:widowControl/>
              <w:jc w:val="center"/>
              <w:rPr>
                <w:rFonts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其他未列明行业</w:t>
            </w:r>
          </w:p>
        </w:tc>
        <w:tc>
          <w:tcPr>
            <w:tcW w:w="1984" w:type="dxa"/>
            <w:tcBorders>
              <w:top w:val="nil"/>
              <w:left w:val="nil"/>
              <w:bottom w:val="single" w:color="auto" w:sz="4" w:space="0"/>
              <w:right w:val="single" w:color="auto" w:sz="4" w:space="0"/>
            </w:tcBorders>
            <w:vAlign w:val="center"/>
          </w:tcPr>
          <w:p w14:paraId="415EF940">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从业人员（X）</w:t>
            </w:r>
          </w:p>
        </w:tc>
        <w:tc>
          <w:tcPr>
            <w:tcW w:w="851" w:type="dxa"/>
            <w:tcBorders>
              <w:top w:val="nil"/>
              <w:left w:val="nil"/>
              <w:bottom w:val="single" w:color="auto" w:sz="4" w:space="0"/>
              <w:right w:val="single" w:color="auto" w:sz="4" w:space="0"/>
            </w:tcBorders>
            <w:vAlign w:val="center"/>
          </w:tcPr>
          <w:p w14:paraId="54D655FB">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人</w:t>
            </w:r>
          </w:p>
        </w:tc>
        <w:tc>
          <w:tcPr>
            <w:tcW w:w="1842" w:type="dxa"/>
            <w:tcBorders>
              <w:top w:val="nil"/>
              <w:left w:val="nil"/>
              <w:bottom w:val="single" w:color="auto" w:sz="4" w:space="0"/>
              <w:right w:val="single" w:color="auto" w:sz="4" w:space="0"/>
            </w:tcBorders>
            <w:vAlign w:val="center"/>
          </w:tcPr>
          <w:p w14:paraId="6EB55087">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100≤X＜300</w:t>
            </w:r>
          </w:p>
        </w:tc>
        <w:tc>
          <w:tcPr>
            <w:tcW w:w="1701" w:type="dxa"/>
            <w:tcBorders>
              <w:top w:val="nil"/>
              <w:left w:val="nil"/>
              <w:bottom w:val="single" w:color="auto" w:sz="4" w:space="0"/>
              <w:right w:val="single" w:color="auto" w:sz="4" w:space="0"/>
            </w:tcBorders>
            <w:vAlign w:val="center"/>
          </w:tcPr>
          <w:p w14:paraId="45884FB4">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10≤X＜100</w:t>
            </w:r>
          </w:p>
        </w:tc>
        <w:tc>
          <w:tcPr>
            <w:tcW w:w="1134" w:type="dxa"/>
            <w:tcBorders>
              <w:top w:val="nil"/>
              <w:left w:val="nil"/>
              <w:bottom w:val="single" w:color="auto" w:sz="4" w:space="0"/>
              <w:right w:val="single" w:color="auto" w:sz="4" w:space="0"/>
            </w:tcBorders>
            <w:vAlign w:val="center"/>
          </w:tcPr>
          <w:p w14:paraId="41B24284">
            <w:pPr>
              <w:widowControl/>
              <w:jc w:val="left"/>
              <w:rPr>
                <w:rFonts w:ascii="宋体" w:hAnsi="宋体" w:cs="宋体"/>
                <w:color w:val="auto"/>
                <w:kern w:val="0"/>
                <w:sz w:val="18"/>
                <w:szCs w:val="18"/>
                <w:highlight w:val="none"/>
              </w:rPr>
            </w:pPr>
            <w:r>
              <w:rPr>
                <w:rFonts w:hint="eastAsia" w:ascii="宋体" w:hAnsi="宋体" w:cs="宋体"/>
                <w:color w:val="auto"/>
                <w:kern w:val="0"/>
                <w:sz w:val="18"/>
                <w:szCs w:val="18"/>
                <w:highlight w:val="none"/>
              </w:rPr>
              <w:t>X＜10</w:t>
            </w:r>
          </w:p>
        </w:tc>
      </w:tr>
    </w:tbl>
    <w:p w14:paraId="287797B1">
      <w:pPr>
        <w:spacing w:line="560" w:lineRule="exact"/>
        <w:ind w:firstLine="525" w:firstLineChars="250"/>
        <w:rPr>
          <w:rFonts w:ascii="宋体" w:hAnsi="宋体" w:cs="宋体"/>
          <w:color w:val="auto"/>
          <w:szCs w:val="21"/>
          <w:highlight w:val="none"/>
        </w:rPr>
      </w:pPr>
      <w:r>
        <w:rPr>
          <w:rFonts w:hint="eastAsia" w:ascii="宋体" w:hAnsi="宋体" w:cs="宋体"/>
          <w:color w:val="auto"/>
          <w:szCs w:val="21"/>
          <w:highlight w:val="none"/>
        </w:rPr>
        <w:t>说明：上述标准参照《关于印发中小企业划型标准规定的通知》（工信部联企业[2011]300号），大型、中型和小型企业须同时满足所列指标的下限，否则下划一档；微型企业只须满足所列指标中的一项即可。</w:t>
      </w:r>
    </w:p>
    <w:p w14:paraId="40C99CBE">
      <w:pPr>
        <w:pStyle w:val="24"/>
        <w:rPr>
          <w:color w:val="auto"/>
          <w:highlight w:val="none"/>
        </w:rPr>
      </w:pPr>
    </w:p>
    <w:p w14:paraId="1D43A035">
      <w:pPr>
        <w:jc w:val="center"/>
        <w:rPr>
          <w:rStyle w:val="56"/>
          <w:b w:val="0"/>
          <w:bCs/>
          <w:color w:val="auto"/>
          <w:sz w:val="32"/>
          <w:szCs w:val="32"/>
          <w:highlight w:val="none"/>
        </w:rPr>
      </w:pPr>
      <w:bookmarkStart w:id="75" w:name="_Toc15972"/>
      <w:bookmarkStart w:id="76" w:name="_Toc44229896"/>
      <w:bookmarkStart w:id="77" w:name="_Toc28741"/>
      <w:r>
        <w:rPr>
          <w:rStyle w:val="56"/>
          <w:rFonts w:hint="eastAsia"/>
          <w:color w:val="auto"/>
          <w:sz w:val="32"/>
          <w:szCs w:val="32"/>
          <w:highlight w:val="none"/>
        </w:rPr>
        <w:br w:type="page"/>
      </w:r>
    </w:p>
    <w:p w14:paraId="5B0E5C3D">
      <w:pPr>
        <w:pStyle w:val="4"/>
        <w:jc w:val="center"/>
        <w:rPr>
          <w:rStyle w:val="56"/>
          <w:rFonts w:hint="default"/>
          <w:b/>
          <w:color w:val="auto"/>
          <w:sz w:val="32"/>
          <w:szCs w:val="32"/>
          <w:highlight w:val="none"/>
        </w:rPr>
      </w:pPr>
      <w:r>
        <w:rPr>
          <w:rStyle w:val="56"/>
          <w:b/>
          <w:color w:val="auto"/>
          <w:sz w:val="32"/>
          <w:szCs w:val="32"/>
          <w:highlight w:val="none"/>
        </w:rPr>
        <w:t>第四章  评审程序、评审方法和评审标准</w:t>
      </w:r>
      <w:bookmarkEnd w:id="75"/>
      <w:bookmarkEnd w:id="76"/>
      <w:bookmarkEnd w:id="77"/>
    </w:p>
    <w:p w14:paraId="18D1A443">
      <w:pPr>
        <w:spacing w:line="360" w:lineRule="auto"/>
        <w:jc w:val="center"/>
        <w:rPr>
          <w:rFonts w:ascii="宋体" w:hAnsi="宋体"/>
          <w:b/>
          <w:color w:val="auto"/>
          <w:sz w:val="32"/>
          <w:szCs w:val="32"/>
          <w:highlight w:val="none"/>
        </w:rPr>
      </w:pPr>
      <w:r>
        <w:rPr>
          <w:rFonts w:hint="eastAsia" w:ascii="宋体" w:hAnsi="宋体"/>
          <w:b/>
          <w:color w:val="auto"/>
          <w:sz w:val="32"/>
          <w:szCs w:val="32"/>
          <w:highlight w:val="none"/>
        </w:rPr>
        <w:t>一、评审程序和评审方法</w:t>
      </w:r>
    </w:p>
    <w:p w14:paraId="5EC8E5AC">
      <w:pPr>
        <w:spacing w:line="360" w:lineRule="auto"/>
        <w:ind w:firstLine="482" w:firstLineChars="200"/>
        <w:rPr>
          <w:rFonts w:ascii="黑体" w:hAnsi="黑体" w:eastAsia="黑体" w:cs="宋体"/>
          <w:b/>
          <w:bCs/>
          <w:color w:val="auto"/>
          <w:sz w:val="24"/>
          <w:highlight w:val="none"/>
        </w:rPr>
      </w:pPr>
      <w:r>
        <w:rPr>
          <w:rFonts w:ascii="黑体" w:hAnsi="黑体" w:eastAsia="黑体" w:cs="宋体"/>
          <w:b/>
          <w:bCs/>
          <w:color w:val="auto"/>
          <w:sz w:val="24"/>
          <w:highlight w:val="none"/>
        </w:rPr>
        <w:t>1</w:t>
      </w:r>
      <w:r>
        <w:rPr>
          <w:rFonts w:hint="eastAsia" w:ascii="黑体" w:hAnsi="黑体" w:eastAsia="黑体" w:cs="宋体"/>
          <w:b/>
          <w:bCs/>
          <w:color w:val="auto"/>
          <w:sz w:val="24"/>
          <w:highlight w:val="none"/>
        </w:rPr>
        <w:t>.资格审查</w:t>
      </w:r>
    </w:p>
    <w:p w14:paraId="24CAC1C0">
      <w:pPr>
        <w:snapToGrid w:val="0"/>
        <w:spacing w:line="360" w:lineRule="auto"/>
        <w:ind w:firstLine="420" w:firstLineChars="200"/>
        <w:rPr>
          <w:rFonts w:ascii="宋体" w:hAnsi="宋体"/>
          <w:color w:val="auto"/>
          <w:szCs w:val="21"/>
          <w:highlight w:val="none"/>
        </w:rPr>
      </w:pPr>
      <w:r>
        <w:rPr>
          <w:rFonts w:ascii="宋体" w:hAnsi="宋体" w:cs="宋体"/>
          <w:color w:val="auto"/>
          <w:szCs w:val="21"/>
          <w:highlight w:val="none"/>
        </w:rPr>
        <w:t>1</w:t>
      </w:r>
      <w:r>
        <w:rPr>
          <w:rFonts w:hint="eastAsia" w:ascii="宋体" w:hAnsi="宋体" w:cs="宋体"/>
          <w:color w:val="auto"/>
          <w:szCs w:val="21"/>
          <w:highlight w:val="none"/>
        </w:rPr>
        <w:t>.1</w:t>
      </w:r>
      <w:r>
        <w:rPr>
          <w:rFonts w:hint="eastAsia" w:ascii="宋体" w:hAnsi="宋体"/>
          <w:color w:val="auto"/>
          <w:szCs w:val="21"/>
          <w:highlight w:val="none"/>
        </w:rPr>
        <w:t>响应文件开启后，磋商小组依法对供应商的资格证明文件进行审查。</w:t>
      </w:r>
    </w:p>
    <w:p w14:paraId="619429EC">
      <w:pPr>
        <w:snapToGrid w:val="0"/>
        <w:spacing w:line="360" w:lineRule="auto"/>
        <w:rPr>
          <w:rFonts w:ascii="宋体" w:hAnsi="宋体" w:cs="宋体"/>
          <w:color w:val="auto"/>
          <w:szCs w:val="21"/>
          <w:highlight w:val="none"/>
        </w:rPr>
      </w:pPr>
      <w:r>
        <w:rPr>
          <w:rFonts w:hint="eastAsia" w:ascii="宋体" w:hAnsi="宋体" w:cs="宋体"/>
          <w:color w:val="auto"/>
          <w:szCs w:val="21"/>
          <w:highlight w:val="none"/>
        </w:rPr>
        <w:t>注：采购代理机构在资格审查结束前，对供应商进行信用查询。</w:t>
      </w:r>
    </w:p>
    <w:p w14:paraId="7A0C93FD">
      <w:pPr>
        <w:snapToGrid w:val="0"/>
        <w:spacing w:line="360" w:lineRule="auto"/>
        <w:ind w:firstLine="210" w:firstLineChars="100"/>
        <w:jc w:val="left"/>
        <w:rPr>
          <w:rFonts w:ascii="宋体" w:hAnsi="宋体" w:cs="宋体"/>
          <w:color w:val="auto"/>
          <w:szCs w:val="21"/>
          <w:highlight w:val="none"/>
        </w:rPr>
      </w:pPr>
      <w:r>
        <w:rPr>
          <w:rFonts w:hint="eastAsia" w:ascii="宋体" w:hAnsi="宋体" w:cs="宋体"/>
          <w:color w:val="auto"/>
          <w:szCs w:val="21"/>
          <w:highlight w:val="none"/>
        </w:rPr>
        <w:t>（1）查询渠道：“信用中国”网站（www.creditchina.gov.cn) 、中国政府采购网（www.ccgp.gov.cn)。</w:t>
      </w:r>
    </w:p>
    <w:p w14:paraId="30592B71">
      <w:pPr>
        <w:snapToGrid w:val="0"/>
        <w:spacing w:line="360" w:lineRule="auto"/>
        <w:ind w:firstLine="210" w:firstLineChars="100"/>
        <w:rPr>
          <w:rFonts w:ascii="宋体" w:hAnsi="宋体" w:cs="宋体"/>
          <w:color w:val="auto"/>
          <w:szCs w:val="21"/>
          <w:highlight w:val="none"/>
        </w:rPr>
      </w:pPr>
      <w:r>
        <w:rPr>
          <w:rFonts w:hint="eastAsia" w:ascii="宋体" w:hAnsi="宋体" w:cs="宋体"/>
          <w:color w:val="auto"/>
          <w:szCs w:val="21"/>
          <w:highlight w:val="none"/>
        </w:rPr>
        <w:t>（2）信用查询截止时点：资格审查结束前。</w:t>
      </w:r>
    </w:p>
    <w:p w14:paraId="5A0E5EE1">
      <w:pPr>
        <w:snapToGrid w:val="0"/>
        <w:spacing w:line="360" w:lineRule="auto"/>
        <w:rPr>
          <w:rFonts w:ascii="宋体" w:hAnsi="宋体" w:cs="宋体"/>
          <w:color w:val="auto"/>
          <w:szCs w:val="21"/>
          <w:highlight w:val="none"/>
        </w:rPr>
      </w:pPr>
      <w:r>
        <w:rPr>
          <w:rFonts w:hint="eastAsia" w:ascii="宋体" w:hAnsi="宋体" w:cs="宋体"/>
          <w:color w:val="auto"/>
          <w:szCs w:val="21"/>
          <w:highlight w:val="none"/>
        </w:rPr>
        <w:t>查询记录和证据留存方式：在查询网站中直接打印查询记录，打印材料作为评审资料保存。</w:t>
      </w:r>
    </w:p>
    <w:p w14:paraId="7A8F25B3">
      <w:pPr>
        <w:spacing w:line="360" w:lineRule="auto"/>
        <w:ind w:firstLine="210" w:firstLineChars="100"/>
        <w:rPr>
          <w:rFonts w:ascii="宋体" w:hAnsi="宋体" w:cs="宋体"/>
          <w:color w:val="auto"/>
          <w:szCs w:val="21"/>
          <w:highlight w:val="none"/>
        </w:rPr>
      </w:pPr>
      <w:r>
        <w:rPr>
          <w:rFonts w:hint="eastAsia" w:ascii="宋体" w:hAnsi="宋体" w:cs="宋体"/>
          <w:color w:val="auto"/>
          <w:szCs w:val="21"/>
          <w:highlight w:val="none"/>
        </w:rPr>
        <w:t>（3）信用信息使用规则：对在“信用中国”网站（www.creditchina.gov.cn) 、中国政府采购网（www.ccgp.gov.cn）被列入失信被执行人、重大税收违法失信主体、政府采购严重违法失信行为记录名单及其他不符合《中华人民共和国政府采购法》第二十二条规定条件的供应商，资格审查不通过，不得参与政府采购活动。</w:t>
      </w:r>
    </w:p>
    <w:p w14:paraId="0F750FB6">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1</w:t>
      </w:r>
      <w:r>
        <w:rPr>
          <w:rFonts w:hint="eastAsia" w:ascii="宋体" w:hAnsi="宋体" w:cs="宋体"/>
          <w:color w:val="auto"/>
          <w:szCs w:val="21"/>
          <w:highlight w:val="none"/>
        </w:rPr>
        <w:t>.2资格审查标准为本磋商文件中载明对供应商资格要求的条件。资格审查采用合格制，凡符合磋商文件规定的供应商资格要求的响应文件均通过资格审查。</w:t>
      </w:r>
    </w:p>
    <w:p w14:paraId="0BC5FF11">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1</w:t>
      </w:r>
      <w:r>
        <w:rPr>
          <w:rFonts w:hint="eastAsia" w:ascii="宋体" w:hAnsi="宋体" w:cs="宋体"/>
          <w:color w:val="auto"/>
          <w:szCs w:val="21"/>
          <w:highlight w:val="none"/>
        </w:rPr>
        <w:t>.3供应商有下列情形之一的，资格审查不通过，其响应文件按无效响应处理：</w:t>
      </w:r>
    </w:p>
    <w:p w14:paraId="2CA63571">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w:t>
      </w:r>
      <w:r>
        <w:rPr>
          <w:rFonts w:ascii="宋体" w:hAnsi="宋体" w:cs="宋体"/>
          <w:color w:val="auto"/>
          <w:szCs w:val="21"/>
          <w:highlight w:val="none"/>
        </w:rPr>
        <w:t>1</w:t>
      </w:r>
      <w:r>
        <w:rPr>
          <w:rFonts w:hint="eastAsia" w:ascii="宋体" w:hAnsi="宋体" w:cs="宋体"/>
          <w:color w:val="auto"/>
          <w:szCs w:val="21"/>
          <w:highlight w:val="none"/>
        </w:rPr>
        <w:t>）不具备磋商文件中规定的资格要求的；</w:t>
      </w:r>
    </w:p>
    <w:p w14:paraId="44B34ABD">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w:t>
      </w:r>
      <w:r>
        <w:rPr>
          <w:rFonts w:ascii="宋体" w:hAnsi="宋体" w:cs="宋体"/>
          <w:color w:val="auto"/>
          <w:szCs w:val="21"/>
          <w:highlight w:val="none"/>
        </w:rPr>
        <w:t>2</w:t>
      </w:r>
      <w:r>
        <w:rPr>
          <w:rFonts w:hint="eastAsia" w:ascii="宋体" w:hAnsi="宋体" w:cs="宋体"/>
          <w:color w:val="auto"/>
          <w:szCs w:val="21"/>
          <w:highlight w:val="none"/>
        </w:rPr>
        <w:t>）响应文件未提供任一项“供应商须知前附表”资格证明文件规定的“必须提供”的文件资料的；</w:t>
      </w:r>
    </w:p>
    <w:p w14:paraId="5911843E">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w:t>
      </w:r>
      <w:r>
        <w:rPr>
          <w:rFonts w:ascii="宋体" w:hAnsi="宋体" w:cs="宋体"/>
          <w:color w:val="auto"/>
          <w:szCs w:val="21"/>
          <w:highlight w:val="none"/>
        </w:rPr>
        <w:t>3</w:t>
      </w:r>
      <w:r>
        <w:rPr>
          <w:rFonts w:hint="eastAsia" w:ascii="宋体" w:hAnsi="宋体" w:cs="宋体"/>
          <w:color w:val="auto"/>
          <w:szCs w:val="21"/>
          <w:highlight w:val="none"/>
        </w:rPr>
        <w:t>）响应文件提供的资格证明文件出现任一项不符合“供应商须知前附表”资格证明文件规定的“必须提供”的文件资料要求或者无效的。</w:t>
      </w:r>
    </w:p>
    <w:p w14:paraId="240B28D0">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1</w:t>
      </w:r>
      <w:r>
        <w:rPr>
          <w:rFonts w:hint="eastAsia" w:ascii="宋体" w:hAnsi="宋体" w:cs="宋体"/>
          <w:color w:val="auto"/>
          <w:szCs w:val="21"/>
          <w:highlight w:val="none"/>
        </w:rPr>
        <w:t>.4通过资格审查的合格供应商不足3家的，</w:t>
      </w:r>
      <w:r>
        <w:rPr>
          <w:rFonts w:hint="eastAsia" w:ascii="宋体" w:hAnsi="宋体" w:cs="宋体"/>
          <w:b/>
          <w:bCs/>
          <w:color w:val="auto"/>
          <w:szCs w:val="21"/>
          <w:highlight w:val="none"/>
        </w:rPr>
        <w:t>按照本节第3.8款执行。</w:t>
      </w:r>
    </w:p>
    <w:p w14:paraId="184CACF3">
      <w:pPr>
        <w:spacing w:line="360" w:lineRule="auto"/>
        <w:ind w:firstLine="482" w:firstLineChars="200"/>
        <w:rPr>
          <w:rFonts w:ascii="黑体" w:hAnsi="黑体" w:eastAsia="黑体" w:cs="宋体"/>
          <w:b/>
          <w:bCs/>
          <w:color w:val="auto"/>
          <w:sz w:val="24"/>
          <w:highlight w:val="none"/>
        </w:rPr>
      </w:pPr>
      <w:r>
        <w:rPr>
          <w:rFonts w:ascii="黑体" w:hAnsi="黑体" w:eastAsia="黑体" w:cs="宋体"/>
          <w:b/>
          <w:bCs/>
          <w:color w:val="auto"/>
          <w:sz w:val="24"/>
          <w:highlight w:val="none"/>
        </w:rPr>
        <w:t>2</w:t>
      </w:r>
      <w:r>
        <w:rPr>
          <w:rFonts w:hint="eastAsia" w:ascii="黑体" w:hAnsi="黑体" w:eastAsia="黑体" w:cs="宋体"/>
          <w:b/>
          <w:bCs/>
          <w:color w:val="auto"/>
          <w:sz w:val="24"/>
          <w:highlight w:val="none"/>
        </w:rPr>
        <w:t>.符合性审查</w:t>
      </w:r>
    </w:p>
    <w:p w14:paraId="39B89672">
      <w:pPr>
        <w:spacing w:line="360" w:lineRule="auto"/>
        <w:ind w:firstLine="420" w:firstLineChars="200"/>
        <w:rPr>
          <w:rFonts w:ascii="宋体" w:hAnsi="宋体" w:cs="宋体"/>
          <w:color w:val="auto"/>
          <w:szCs w:val="21"/>
          <w:highlight w:val="none"/>
        </w:rPr>
      </w:pPr>
      <w:bookmarkStart w:id="78" w:name="_Hlk42528882"/>
      <w:r>
        <w:rPr>
          <w:rFonts w:ascii="宋体" w:hAnsi="宋体" w:cs="宋体"/>
          <w:color w:val="auto"/>
          <w:szCs w:val="21"/>
          <w:highlight w:val="none"/>
        </w:rPr>
        <w:t>2.1</w:t>
      </w:r>
      <w:r>
        <w:rPr>
          <w:rFonts w:hint="eastAsia" w:ascii="宋体" w:hAnsi="宋体" w:cs="宋体"/>
          <w:color w:val="auto"/>
          <w:szCs w:val="21"/>
          <w:highlight w:val="none"/>
        </w:rPr>
        <w:t>由磋商小组对</w:t>
      </w:r>
      <w:r>
        <w:rPr>
          <w:rFonts w:hint="eastAsia" w:ascii="宋体" w:hAnsi="宋体"/>
          <w:color w:val="auto"/>
          <w:szCs w:val="21"/>
          <w:highlight w:val="none"/>
        </w:rPr>
        <w:t>通过资格审查的合格供应商</w:t>
      </w:r>
      <w:r>
        <w:rPr>
          <w:rFonts w:hint="eastAsia" w:ascii="宋体" w:hAnsi="宋体" w:cs="宋体"/>
          <w:color w:val="auto"/>
          <w:szCs w:val="21"/>
          <w:highlight w:val="none"/>
        </w:rPr>
        <w:t>的响应文件的竞标报价、商务、技术等实质性要求进行符合性审查，以确定其是否满足磋商文件的实质性要求。</w:t>
      </w:r>
    </w:p>
    <w:bookmarkEnd w:id="78"/>
    <w:p w14:paraId="4F0AC3FA">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2.2</w:t>
      </w:r>
      <w:r>
        <w:rPr>
          <w:rFonts w:hint="eastAsia" w:ascii="宋体" w:hAnsi="宋体" w:cs="宋体"/>
          <w:color w:val="auto"/>
          <w:szCs w:val="21"/>
          <w:highlight w:val="none"/>
        </w:rPr>
        <w:t>磋商小组在对响应文件进行符合性审查时，可以要求供应商对响应文件中含义不明确、同类问题表述不一致或者有明显文字和计算错误的内容等作出必要的澄清、说明或者更正。供应商的澄清、说明或者更正不得超出响应文件的范围或者改变响应文件的实质性内容。</w:t>
      </w:r>
    </w:p>
    <w:p w14:paraId="75A8EA19">
      <w:pPr>
        <w:spacing w:line="360" w:lineRule="auto"/>
        <w:ind w:firstLine="420" w:firstLineChars="200"/>
        <w:rPr>
          <w:rFonts w:ascii="宋体" w:hAnsi="宋体" w:cs="宋体"/>
          <w:color w:val="auto"/>
          <w:spacing w:val="-6"/>
          <w:szCs w:val="21"/>
          <w:highlight w:val="none"/>
        </w:rPr>
      </w:pPr>
      <w:r>
        <w:rPr>
          <w:rFonts w:ascii="宋体" w:hAnsi="宋体" w:cs="宋体"/>
          <w:color w:val="auto"/>
          <w:szCs w:val="21"/>
          <w:highlight w:val="none"/>
        </w:rPr>
        <w:t>2</w:t>
      </w:r>
      <w:r>
        <w:rPr>
          <w:rFonts w:hint="eastAsia" w:ascii="宋体" w:hAnsi="宋体" w:cs="宋体"/>
          <w:color w:val="auto"/>
          <w:szCs w:val="21"/>
          <w:highlight w:val="none"/>
        </w:rPr>
        <w:t>.</w:t>
      </w:r>
      <w:r>
        <w:rPr>
          <w:rFonts w:ascii="宋体" w:hAnsi="宋体" w:cs="宋体"/>
          <w:color w:val="auto"/>
          <w:szCs w:val="21"/>
          <w:highlight w:val="none"/>
        </w:rPr>
        <w:t>3</w:t>
      </w:r>
      <w:r>
        <w:rPr>
          <w:rFonts w:hint="eastAsia" w:ascii="宋体" w:hAnsi="宋体" w:cs="宋体"/>
          <w:color w:val="auto"/>
          <w:szCs w:val="21"/>
          <w:highlight w:val="none"/>
        </w:rPr>
        <w:t>磋商小组要求供应商澄清、说明或者更正响应文件应当以书面形式作出。供应商的澄清、说明或者更正应当以书面形式按照磋商小组的要求作出明确的澄清、说明或者更正，未按磋商小组的要求作出明确澄清、说明或者更正的供应商的响应文件将按照有利于采购人的原则由磋商小组进行判定。供应商的澄清、说明或者更正必须由法定代表人或者其授权代表签字或者加盖公章。由委托代理人签字的，</w:t>
      </w:r>
      <w:r>
        <w:rPr>
          <w:rFonts w:hint="eastAsia" w:ascii="宋体" w:hAnsi="宋体" w:cs="宋体"/>
          <w:bCs/>
          <w:color w:val="auto"/>
          <w:szCs w:val="21"/>
          <w:highlight w:val="none"/>
        </w:rPr>
        <w:t>若委托代理人不是响应文件中授权的委托代理人时，必须同时出示有效的法定代表人授权委托书原件</w:t>
      </w:r>
      <w:r>
        <w:rPr>
          <w:rFonts w:hint="eastAsia" w:ascii="宋体" w:hAnsi="宋体" w:cs="宋体"/>
          <w:color w:val="auto"/>
          <w:spacing w:val="-6"/>
          <w:szCs w:val="21"/>
          <w:highlight w:val="none"/>
        </w:rPr>
        <w:t>。供应商为自然人的，必须由本人签字并附身份证明。</w:t>
      </w:r>
    </w:p>
    <w:p w14:paraId="07227E09">
      <w:pPr>
        <w:spacing w:line="360" w:lineRule="auto"/>
        <w:ind w:firstLine="396" w:firstLineChars="200"/>
        <w:rPr>
          <w:rFonts w:ascii="宋体" w:hAnsi="宋体" w:cs="宋体"/>
          <w:color w:val="auto"/>
          <w:szCs w:val="21"/>
          <w:highlight w:val="none"/>
        </w:rPr>
      </w:pPr>
      <w:r>
        <w:rPr>
          <w:rFonts w:ascii="宋体" w:hAnsi="宋体" w:cs="宋体"/>
          <w:color w:val="auto"/>
          <w:spacing w:val="-6"/>
          <w:szCs w:val="21"/>
          <w:highlight w:val="none"/>
        </w:rPr>
        <w:t>2.4</w:t>
      </w:r>
      <w:r>
        <w:rPr>
          <w:rFonts w:hint="eastAsia" w:ascii="宋体" w:hAnsi="宋体" w:cs="宋体"/>
          <w:color w:val="auto"/>
          <w:szCs w:val="21"/>
          <w:highlight w:val="none"/>
        </w:rPr>
        <w:t xml:space="preserve">首次响应文件报价出现前后不一致的，按照下列规定修正： </w:t>
      </w:r>
    </w:p>
    <w:p w14:paraId="3C7636B4">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（1）响应文件中报价表内容与响应文件中相应内容不一致的，以报价表为准；</w:t>
      </w:r>
    </w:p>
    <w:p w14:paraId="56E64489">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（2）大写金额和小写金额不一致的，以大写金额为准；</w:t>
      </w:r>
    </w:p>
    <w:p w14:paraId="1DB6AD88">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（3）单价金额小数点或者百分比有明显错位的，以报价表的总价为准，并修改单价；</w:t>
      </w:r>
    </w:p>
    <w:p w14:paraId="100D59D0">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（4）总价金额与按单价汇总金额不一致的，以单价金额计算结果为准。</w:t>
      </w:r>
    </w:p>
    <w:p w14:paraId="5918D754">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同时出现两种以上不一致的，按照以上（1）-（4）规定的顺序逐条进行修正。修正后的报价经供应商确认后产生约束力，供应商不确认的，其响应文件按无效响应处理。</w:t>
      </w:r>
    </w:p>
    <w:p w14:paraId="7AAABBE0">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2</w:t>
      </w:r>
      <w:r>
        <w:rPr>
          <w:rFonts w:hint="eastAsia" w:ascii="宋体" w:hAnsi="宋体" w:cs="宋体"/>
          <w:color w:val="auto"/>
          <w:szCs w:val="21"/>
          <w:highlight w:val="none"/>
        </w:rPr>
        <w:t>.</w:t>
      </w:r>
      <w:r>
        <w:rPr>
          <w:rFonts w:ascii="宋体" w:hAnsi="宋体" w:cs="宋体"/>
          <w:color w:val="auto"/>
          <w:szCs w:val="21"/>
          <w:highlight w:val="none"/>
        </w:rPr>
        <w:t>5</w:t>
      </w:r>
      <w:r>
        <w:rPr>
          <w:rFonts w:hint="eastAsia" w:ascii="宋体" w:hAnsi="宋体" w:cs="宋体"/>
          <w:color w:val="auto"/>
          <w:szCs w:val="21"/>
          <w:highlight w:val="none"/>
        </w:rPr>
        <w:t>商务技术报价评审</w:t>
      </w:r>
    </w:p>
    <w:p w14:paraId="48E555F8">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在评审时，如发现下列情形之一的，将被视为响应文件无效处理：</w:t>
      </w:r>
    </w:p>
    <w:p w14:paraId="1E5AF486">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（1）商务技术评审</w:t>
      </w:r>
    </w:p>
    <w:p w14:paraId="0A259A02">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1）提供响应文件正、副本数量不足；</w:t>
      </w:r>
    </w:p>
    <w:p w14:paraId="52EE2808">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2）响应文件未按磋商文件要求签署、盖章；</w:t>
      </w:r>
    </w:p>
    <w:p w14:paraId="21643A5F">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 xml:space="preserve">3）委托代理人未能出具有效身份证明或者出具的身份证明与授权委托书中的信息不符； </w:t>
      </w:r>
    </w:p>
    <w:p w14:paraId="6C3CE537">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4）提交的磋商保证金无效的或者未按照磋商文件的规定提交磋商保证金；</w:t>
      </w:r>
    </w:p>
    <w:p w14:paraId="2667D368">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5）响应文件未提供任一项“供应商须知前附表” 报价商务技术文件中 “必须提供”或者“委托时必须提供”的文件资料；响应文件提供的报价商务技术文件出现任一项不符合“供应商须知前附表” 报价商务技术文件中 “必须提供”或者“委托时必须提供”文件资料要求的规定或者提供的报价商务技术文件无效。</w:t>
      </w:r>
    </w:p>
    <w:p w14:paraId="52B882F8">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6</w:t>
      </w:r>
      <w:r>
        <w:rPr>
          <w:rFonts w:hint="eastAsia" w:ascii="宋体" w:hAnsi="宋体" w:cs="宋体"/>
          <w:color w:val="auto"/>
          <w:szCs w:val="21"/>
          <w:highlight w:val="none"/>
        </w:rPr>
        <w:t>）商务条款中标“▲”的条款发生负偏离的或者允许负偏离的条款数超过“供应商须知前附表”规定项数的或者标明实质性的要求发生负偏离；</w:t>
      </w:r>
    </w:p>
    <w:p w14:paraId="3FD97DEE">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7</w:t>
      </w:r>
      <w:r>
        <w:rPr>
          <w:rFonts w:hint="eastAsia" w:ascii="宋体" w:hAnsi="宋体" w:cs="宋体"/>
          <w:color w:val="auto"/>
          <w:szCs w:val="21"/>
          <w:highlight w:val="none"/>
        </w:rPr>
        <w:t>）未对竞标有效期作出响应或者响应文件承诺的竞标有效期不满足磋商文件要求；</w:t>
      </w:r>
    </w:p>
    <w:p w14:paraId="63E7F0EC">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8</w:t>
      </w:r>
      <w:r>
        <w:rPr>
          <w:rFonts w:hint="eastAsia" w:ascii="宋体" w:hAnsi="宋体" w:cs="宋体"/>
          <w:color w:val="auto"/>
          <w:szCs w:val="21"/>
          <w:highlight w:val="none"/>
        </w:rPr>
        <w:t>）响应文件的实质性内容未使用中文表述、使用计量单位不符合磋商文件要求；</w:t>
      </w:r>
    </w:p>
    <w:p w14:paraId="7A7B01F9">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9</w:t>
      </w:r>
      <w:r>
        <w:rPr>
          <w:rFonts w:hint="eastAsia" w:ascii="宋体" w:hAnsi="宋体" w:cs="宋体"/>
          <w:color w:val="auto"/>
          <w:szCs w:val="21"/>
          <w:highlight w:val="none"/>
        </w:rPr>
        <w:t>）响应文件中的文件资料因填写不齐全或者</w:t>
      </w:r>
      <w:r>
        <w:rPr>
          <w:rFonts w:hint="eastAsia" w:ascii="宋体" w:hAnsi="宋体" w:cs="宋体"/>
          <w:b/>
          <w:bCs/>
          <w:color w:val="auto"/>
          <w:szCs w:val="21"/>
          <w:highlight w:val="none"/>
        </w:rPr>
        <w:t>内容虚假</w:t>
      </w:r>
      <w:r>
        <w:rPr>
          <w:rFonts w:hint="eastAsia" w:ascii="宋体" w:hAnsi="宋体" w:cs="宋体"/>
          <w:color w:val="auto"/>
          <w:szCs w:val="21"/>
          <w:highlight w:val="none"/>
        </w:rPr>
        <w:t>或者出现其他情形而导致被磋商小组认定无效；</w:t>
      </w:r>
    </w:p>
    <w:p w14:paraId="085AC567">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10</w:t>
      </w:r>
      <w:r>
        <w:rPr>
          <w:rFonts w:hint="eastAsia" w:ascii="宋体" w:hAnsi="宋体" w:cs="宋体"/>
          <w:color w:val="auto"/>
          <w:szCs w:val="21"/>
          <w:highlight w:val="none"/>
        </w:rPr>
        <w:t>）响应文件含有采购人不能接受的附加条件；</w:t>
      </w:r>
    </w:p>
    <w:p w14:paraId="7B75DD59">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w:t>
      </w:r>
      <w:r>
        <w:rPr>
          <w:rFonts w:ascii="宋体" w:hAnsi="宋体" w:cs="宋体"/>
          <w:color w:val="auto"/>
          <w:szCs w:val="21"/>
          <w:highlight w:val="none"/>
        </w:rPr>
        <w:t>1</w:t>
      </w:r>
      <w:r>
        <w:rPr>
          <w:rFonts w:hint="eastAsia" w:ascii="宋体" w:hAnsi="宋体" w:cs="宋体"/>
          <w:color w:val="auto"/>
          <w:szCs w:val="21"/>
          <w:highlight w:val="none"/>
        </w:rPr>
        <w:t>）属于“供应商须知正文”第7.</w:t>
      </w:r>
      <w:r>
        <w:rPr>
          <w:rFonts w:ascii="宋体" w:hAnsi="宋体" w:cs="宋体"/>
          <w:color w:val="auto"/>
          <w:szCs w:val="21"/>
          <w:highlight w:val="none"/>
        </w:rPr>
        <w:t>5</w:t>
      </w:r>
      <w:r>
        <w:rPr>
          <w:rFonts w:hint="eastAsia" w:ascii="宋体" w:hAnsi="宋体" w:cs="宋体"/>
          <w:color w:val="auto"/>
          <w:szCs w:val="21"/>
          <w:highlight w:val="none"/>
        </w:rPr>
        <w:t>条情形；</w:t>
      </w:r>
    </w:p>
    <w:p w14:paraId="3C2BDD44">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1</w:t>
      </w:r>
      <w:r>
        <w:rPr>
          <w:rFonts w:hint="eastAsia" w:ascii="宋体" w:hAnsi="宋体" w:cs="宋体"/>
          <w:color w:val="auto"/>
          <w:szCs w:val="21"/>
          <w:highlight w:val="none"/>
        </w:rPr>
        <w:t>2）明显不满足磋商文件要求的技术规格、安全、质量标准，或者与磋商文件中标“▲”的技术需求或者标明实质性的要求发生负偏离；</w:t>
      </w:r>
    </w:p>
    <w:p w14:paraId="37A68AA6">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13</w:t>
      </w:r>
      <w:r>
        <w:rPr>
          <w:rFonts w:hint="eastAsia" w:ascii="宋体" w:hAnsi="宋体" w:cs="宋体"/>
          <w:color w:val="auto"/>
          <w:szCs w:val="21"/>
          <w:highlight w:val="none"/>
        </w:rPr>
        <w:t>）技术需求允许负偏离的条款数超过“供应商须知前附表”规定项数；</w:t>
      </w:r>
    </w:p>
    <w:p w14:paraId="0C20A49D">
      <w:pPr>
        <w:spacing w:line="360" w:lineRule="auto"/>
        <w:ind w:firstLine="422" w:firstLineChars="200"/>
        <w:rPr>
          <w:rFonts w:ascii="宋体" w:hAnsi="宋体" w:cs="宋体"/>
          <w:b/>
          <w:bCs/>
          <w:color w:val="auto"/>
          <w:szCs w:val="21"/>
          <w:highlight w:val="none"/>
        </w:rPr>
      </w:pPr>
      <w:r>
        <w:rPr>
          <w:rFonts w:ascii="宋体" w:hAnsi="宋体" w:cs="宋体"/>
          <w:b/>
          <w:bCs/>
          <w:color w:val="auto"/>
          <w:szCs w:val="21"/>
          <w:highlight w:val="none"/>
        </w:rPr>
        <w:t>14</w:t>
      </w:r>
      <w:r>
        <w:rPr>
          <w:rFonts w:hint="eastAsia" w:ascii="宋体" w:hAnsi="宋体" w:cs="宋体"/>
          <w:b/>
          <w:bCs/>
          <w:color w:val="auto"/>
          <w:szCs w:val="21"/>
          <w:highlight w:val="none"/>
        </w:rPr>
        <w:t>）虚假竞标，或者出现其他情形而导致被磋商小组认定无效；</w:t>
      </w:r>
    </w:p>
    <w:p w14:paraId="0E21089A">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15</w:t>
      </w:r>
      <w:r>
        <w:rPr>
          <w:rFonts w:hint="eastAsia" w:ascii="宋体" w:hAnsi="宋体" w:cs="宋体"/>
          <w:color w:val="auto"/>
          <w:szCs w:val="21"/>
          <w:highlight w:val="none"/>
        </w:rPr>
        <w:t>）竞标技术方案不明确，磋商文件未允许</w:t>
      </w:r>
      <w:r>
        <w:rPr>
          <w:rFonts w:hint="eastAsia" w:ascii="宋体" w:hAnsi="宋体"/>
          <w:color w:val="auto"/>
          <w:szCs w:val="21"/>
          <w:highlight w:val="none"/>
        </w:rPr>
        <w:t>但响应文件中</w:t>
      </w:r>
      <w:r>
        <w:rPr>
          <w:rFonts w:hint="eastAsia" w:ascii="宋体" w:hAnsi="宋体" w:cs="宋体"/>
          <w:color w:val="auto"/>
          <w:szCs w:val="21"/>
          <w:highlight w:val="none"/>
        </w:rPr>
        <w:t>存在一个或者一个以上备选（替代）竞标方案；</w:t>
      </w:r>
    </w:p>
    <w:p w14:paraId="4EF770E0">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1</w:t>
      </w:r>
      <w:r>
        <w:rPr>
          <w:rFonts w:hint="eastAsia" w:ascii="宋体" w:hAnsi="宋体" w:cs="宋体"/>
          <w:color w:val="auto"/>
          <w:szCs w:val="21"/>
          <w:highlight w:val="none"/>
        </w:rPr>
        <w:t>6）未响应磋商文件实质性要求；</w:t>
      </w:r>
    </w:p>
    <w:p w14:paraId="18C29056">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w:t>
      </w:r>
      <w:r>
        <w:rPr>
          <w:rFonts w:ascii="宋体" w:hAnsi="宋体" w:cs="宋体"/>
          <w:color w:val="auto"/>
          <w:szCs w:val="21"/>
          <w:highlight w:val="none"/>
        </w:rPr>
        <w:t>7</w:t>
      </w:r>
      <w:r>
        <w:rPr>
          <w:rFonts w:hint="eastAsia" w:ascii="宋体" w:hAnsi="宋体" w:cs="宋体"/>
          <w:color w:val="auto"/>
          <w:szCs w:val="21"/>
          <w:highlight w:val="none"/>
        </w:rPr>
        <w:t>）法律、法规和磋商文件规定的其他无效情形。</w:t>
      </w:r>
    </w:p>
    <w:p w14:paraId="615EE774">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w:t>
      </w:r>
      <w:r>
        <w:rPr>
          <w:rFonts w:ascii="宋体" w:hAnsi="宋体" w:cs="宋体"/>
          <w:color w:val="auto"/>
          <w:szCs w:val="21"/>
          <w:highlight w:val="none"/>
        </w:rPr>
        <w:t>2</w:t>
      </w:r>
      <w:r>
        <w:rPr>
          <w:rFonts w:hint="eastAsia" w:ascii="宋体" w:hAnsi="宋体" w:cs="宋体"/>
          <w:color w:val="auto"/>
          <w:szCs w:val="21"/>
          <w:highlight w:val="none"/>
        </w:rPr>
        <w:t>）报价评审</w:t>
      </w:r>
    </w:p>
    <w:p w14:paraId="5868E750">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w:t>
      </w:r>
      <w:r>
        <w:rPr>
          <w:rFonts w:ascii="宋体" w:hAnsi="宋体" w:cs="宋体"/>
          <w:color w:val="auto"/>
          <w:szCs w:val="21"/>
          <w:highlight w:val="none"/>
        </w:rPr>
        <w:t xml:space="preserve"> </w:t>
      </w:r>
      <w:r>
        <w:rPr>
          <w:rFonts w:hint="eastAsia" w:ascii="宋体" w:hAnsi="宋体" w:cs="宋体"/>
          <w:color w:val="auto"/>
          <w:szCs w:val="21"/>
          <w:highlight w:val="none"/>
        </w:rPr>
        <w:t>响应文件未提供“供应商须知前附表” 报价商务技术文件中规定的“竞标报价表”；</w:t>
      </w:r>
    </w:p>
    <w:p w14:paraId="0E68982B">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2）未采用人民币报价或者未按照磋商文件标明的币种报价；</w:t>
      </w:r>
    </w:p>
    <w:p w14:paraId="7D3C4E61">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3）供应商未就所竞标进行报价或者存在漏项报价；供应商未就所竞标的单项内容作唯一报价；供应商未就所竞标的全部内容作唯一总价报价；供应商响应文件中存在有选择、有条件报价的（磋商文件允许有备选方案或者其他约定的除外）；</w:t>
      </w:r>
    </w:p>
    <w:p w14:paraId="1E92B9AB">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4）竞标报价（包含首次报价、最后报价）超过所竞标规定的采购预算金额或者最高限价的（如本项目公布了最高限价）；</w:t>
      </w:r>
      <w:bookmarkStart w:id="79" w:name="_Hlk42596405"/>
      <w:r>
        <w:rPr>
          <w:rFonts w:hint="eastAsia" w:ascii="宋体" w:hAnsi="宋体" w:cs="宋体"/>
          <w:color w:val="auto"/>
          <w:szCs w:val="21"/>
          <w:highlight w:val="none"/>
        </w:rPr>
        <w:t>竞标报价（包含首次报价、最后报价）</w:t>
      </w:r>
      <w:bookmarkEnd w:id="79"/>
      <w:bookmarkStart w:id="80" w:name="_Hlk42596276"/>
      <w:r>
        <w:rPr>
          <w:rFonts w:hint="eastAsia" w:ascii="宋体" w:hAnsi="宋体" w:cs="宋体"/>
          <w:color w:val="auto"/>
          <w:szCs w:val="21"/>
          <w:highlight w:val="none"/>
        </w:rPr>
        <w:t>超过磋商文件分项采购预算金额或者最高限价的</w:t>
      </w:r>
      <w:bookmarkEnd w:id="80"/>
      <w:r>
        <w:rPr>
          <w:rFonts w:hint="eastAsia" w:ascii="宋体" w:hAnsi="宋体" w:cs="宋体"/>
          <w:color w:val="auto"/>
          <w:szCs w:val="21"/>
          <w:highlight w:val="none"/>
        </w:rPr>
        <w:t>（如本项目公布了最高限价）；</w:t>
      </w:r>
    </w:p>
    <w:p w14:paraId="6AD3CEC2">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5）修正后的报价，供应商不确认的；或者经供应商确认修正后的竞标报价（包含首次报价、最后报价）超过所竞标规定的采购预算金额或者最高限价（如本项目公布了最高限价）；或者经供应商确认修正后竞标报价（包含首次报价、最后报价）超过磋商文件分项采购预算金额或者最高限价的（如本项目公布了最高限价）。</w:t>
      </w:r>
    </w:p>
    <w:p w14:paraId="6BF11A39">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2.6</w:t>
      </w:r>
      <w:r>
        <w:rPr>
          <w:rFonts w:hint="eastAsia" w:ascii="宋体" w:hAnsi="宋体" w:cs="宋体"/>
          <w:color w:val="auto"/>
          <w:szCs w:val="21"/>
          <w:highlight w:val="none"/>
        </w:rPr>
        <w:t>磋商小组对响应文件进行评审，未实质性响应磋商文件的响应文件按无效处理，由磋商小组告知有关供应商。</w:t>
      </w:r>
      <w:r>
        <w:rPr>
          <w:rFonts w:hint="eastAsia" w:ascii="宋体" w:hAnsi="宋体" w:cs="宋体"/>
          <w:b/>
          <w:bCs/>
          <w:color w:val="auto"/>
          <w:sz w:val="21"/>
          <w:szCs w:val="21"/>
          <w:highlight w:val="none"/>
          <w:u w:val="single"/>
          <w:lang w:val="en-US" w:eastAsia="zh-CN"/>
        </w:rPr>
        <w:t>根据《财政部关于政府采购竞争性磋商采购方式管理暂行办法有关问题的补充通知》（财库〔2015〕124号）的规定，</w:t>
      </w:r>
      <w:r>
        <w:rPr>
          <w:rFonts w:hint="eastAsia" w:ascii="宋体" w:hAnsi="宋体" w:cs="宋体"/>
          <w:color w:val="auto"/>
          <w:szCs w:val="21"/>
          <w:highlight w:val="none"/>
        </w:rPr>
        <w:t>磋商小组从符合磋商文件规定的相应资格条件的供应商名单中确定不少于</w:t>
      </w:r>
      <w:r>
        <w:rPr>
          <w:rFonts w:hint="eastAsia" w:ascii="宋体" w:hAnsi="宋体" w:cs="宋体"/>
          <w:color w:val="auto"/>
          <w:szCs w:val="21"/>
          <w:highlight w:val="none"/>
          <w:lang w:eastAsia="zh-CN"/>
        </w:rPr>
        <w:t>2</w:t>
      </w:r>
      <w:r>
        <w:rPr>
          <w:rFonts w:hint="eastAsia" w:ascii="宋体" w:hAnsi="宋体" w:cs="宋体"/>
          <w:color w:val="auto"/>
          <w:szCs w:val="21"/>
          <w:highlight w:val="none"/>
        </w:rPr>
        <w:t>家的供应商参加磋商。</w:t>
      </w:r>
    </w:p>
    <w:p w14:paraId="0E53AA70">
      <w:pPr>
        <w:spacing w:line="360" w:lineRule="auto"/>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3</w:t>
      </w:r>
      <w:r>
        <w:rPr>
          <w:rFonts w:ascii="黑体" w:hAnsi="黑体" w:eastAsia="黑体" w:cs="宋体"/>
          <w:b/>
          <w:bCs/>
          <w:color w:val="auto"/>
          <w:sz w:val="24"/>
          <w:highlight w:val="none"/>
        </w:rPr>
        <w:t>.</w:t>
      </w:r>
      <w:r>
        <w:rPr>
          <w:rFonts w:hint="eastAsia" w:ascii="黑体" w:hAnsi="黑体" w:eastAsia="黑体" w:cs="宋体"/>
          <w:b/>
          <w:bCs/>
          <w:color w:val="auto"/>
          <w:sz w:val="24"/>
          <w:highlight w:val="none"/>
        </w:rPr>
        <w:t>磋商</w:t>
      </w:r>
    </w:p>
    <w:p w14:paraId="349493D0">
      <w:pPr>
        <w:spacing w:line="360" w:lineRule="auto"/>
        <w:ind w:firstLine="420" w:firstLineChars="200"/>
        <w:rPr>
          <w:rFonts w:ascii="宋体" w:hAnsi="宋体" w:cs="宋体"/>
          <w:color w:val="auto"/>
          <w:kern w:val="0"/>
          <w:szCs w:val="21"/>
          <w:highlight w:val="none"/>
        </w:rPr>
      </w:pPr>
      <w:r>
        <w:rPr>
          <w:rFonts w:ascii="宋体" w:hAnsi="宋体" w:cs="宋体"/>
          <w:color w:val="auto"/>
          <w:kern w:val="0"/>
          <w:szCs w:val="21"/>
          <w:highlight w:val="none"/>
        </w:rPr>
        <w:t>3</w:t>
      </w:r>
      <w:r>
        <w:rPr>
          <w:rFonts w:hint="eastAsia" w:ascii="宋体" w:hAnsi="宋体" w:cs="宋体"/>
          <w:color w:val="auto"/>
          <w:kern w:val="0"/>
          <w:szCs w:val="21"/>
          <w:highlight w:val="none"/>
        </w:rPr>
        <w:t>.磋商的程序</w:t>
      </w:r>
    </w:p>
    <w:p w14:paraId="642199C4">
      <w:pPr>
        <w:spacing w:line="360" w:lineRule="auto"/>
        <w:ind w:firstLine="420" w:firstLineChars="200"/>
        <w:rPr>
          <w:rFonts w:ascii="宋体" w:hAnsi="宋体" w:cs="宋体"/>
          <w:color w:val="auto"/>
          <w:kern w:val="0"/>
          <w:szCs w:val="21"/>
          <w:highlight w:val="none"/>
        </w:rPr>
      </w:pPr>
      <w:r>
        <w:rPr>
          <w:rFonts w:hint="eastAsia" w:ascii="宋体" w:hAnsi="宋体" w:cs="宋体"/>
          <w:color w:val="auto"/>
          <w:kern w:val="0"/>
          <w:szCs w:val="21"/>
          <w:highlight w:val="none"/>
        </w:rPr>
        <w:t>3</w:t>
      </w:r>
      <w:r>
        <w:rPr>
          <w:rFonts w:ascii="宋体" w:hAnsi="宋体" w:cs="宋体"/>
          <w:color w:val="auto"/>
          <w:kern w:val="0"/>
          <w:szCs w:val="21"/>
          <w:highlight w:val="none"/>
        </w:rPr>
        <w:t>.1</w:t>
      </w:r>
      <w:r>
        <w:rPr>
          <w:rFonts w:hint="eastAsia" w:ascii="宋体" w:hAnsi="宋体" w:cs="宋体"/>
          <w:color w:val="auto"/>
          <w:kern w:val="0"/>
          <w:szCs w:val="21"/>
          <w:highlight w:val="none"/>
        </w:rPr>
        <w:t>磋商小组按照“供应商须知前附表”</w:t>
      </w:r>
      <w:r>
        <w:rPr>
          <w:rFonts w:hint="eastAsia" w:ascii="宋体" w:hAnsi="宋体" w:cs="宋体"/>
          <w:color w:val="auto"/>
          <w:szCs w:val="21"/>
          <w:highlight w:val="none"/>
        </w:rPr>
        <w:t xml:space="preserve"> </w:t>
      </w:r>
      <w:r>
        <w:rPr>
          <w:rFonts w:hint="eastAsia" w:ascii="宋体" w:hAnsi="宋体" w:cs="宋体"/>
          <w:color w:val="auto"/>
          <w:kern w:val="0"/>
          <w:szCs w:val="21"/>
          <w:highlight w:val="none"/>
        </w:rPr>
        <w:t>确定的</w:t>
      </w:r>
      <w:r>
        <w:rPr>
          <w:rFonts w:hint="eastAsia" w:ascii="宋体" w:hAnsi="宋体" w:cs="宋体"/>
          <w:color w:val="auto"/>
          <w:szCs w:val="21"/>
          <w:highlight w:val="none"/>
        </w:rPr>
        <w:t>顺序，集中与单一供应商分别进行磋商，并给予所有参加磋商的供应商平等的磋商机会。符合磋商资格的供应商必须在接到磋商通知后规定时间内参加磋商，未在规定时间内参加磋商的视同放弃参加磋商权利，其响应文件按无效响应处理。</w:t>
      </w:r>
    </w:p>
    <w:p w14:paraId="411FA1B6">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3.2</w:t>
      </w:r>
      <w:r>
        <w:rPr>
          <w:rFonts w:hint="eastAsia" w:ascii="宋体" w:hAnsi="宋体" w:cs="宋体"/>
          <w:color w:val="auto"/>
          <w:szCs w:val="21"/>
          <w:highlight w:val="none"/>
        </w:rPr>
        <w:t>在磋商过程中，磋商小组可以根据磋商文件和磋商情况实质性变动采购需求中的技术、服务要求以及合同草案条款，但不得变动磋商文件中的其他内容。实质性变动的内容，须经采购人代表确认。可能实质性变动的内容为采购需求中的技术、服务要求以及合同草案条款。</w:t>
      </w:r>
    </w:p>
    <w:p w14:paraId="217062C2">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3.3</w:t>
      </w:r>
      <w:r>
        <w:rPr>
          <w:rFonts w:hint="eastAsia" w:ascii="宋体" w:hAnsi="宋体" w:cs="宋体"/>
          <w:color w:val="auto"/>
          <w:szCs w:val="21"/>
          <w:highlight w:val="none"/>
        </w:rPr>
        <w:t>对磋商文件作出的实质性变动是磋商文件的有效组成部分，由磋商小组及时以书面形式同时通知所有参加磋商的供应商。</w:t>
      </w:r>
    </w:p>
    <w:p w14:paraId="7E7C6AC4">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3.4</w:t>
      </w:r>
      <w:r>
        <w:rPr>
          <w:rFonts w:hint="eastAsia" w:ascii="宋体" w:hAnsi="宋体" w:cs="宋体"/>
          <w:color w:val="auto"/>
          <w:szCs w:val="21"/>
          <w:highlight w:val="none"/>
        </w:rPr>
        <w:t>供应商必须按照磋商文件的变动情况和磋商小组的要求重新提交响应文件，并由其法定代表人或者授权代表签字或者加盖公章。由委托代理人签字的，</w:t>
      </w:r>
      <w:r>
        <w:rPr>
          <w:rFonts w:hint="eastAsia" w:ascii="宋体" w:hAnsi="宋体" w:cs="宋体"/>
          <w:bCs/>
          <w:color w:val="auto"/>
          <w:szCs w:val="21"/>
          <w:highlight w:val="none"/>
        </w:rPr>
        <w:t>若委托代理人不是响应文件中授权的委托代理人时，必须同时出示有效的法定代表人授权委托书原件</w:t>
      </w:r>
      <w:r>
        <w:rPr>
          <w:rFonts w:hint="eastAsia" w:ascii="宋体" w:hAnsi="宋体" w:cs="宋体"/>
          <w:color w:val="auto"/>
          <w:szCs w:val="21"/>
          <w:highlight w:val="none"/>
        </w:rPr>
        <w:t>。供应商为自然人的，必须由本人签字并附身份证明。参加磋商的供应商未在规定时间内重新提交响应文件的，视同</w:t>
      </w:r>
      <w:bookmarkStart w:id="81" w:name="_Hlk55814495"/>
      <w:r>
        <w:rPr>
          <w:rFonts w:hint="eastAsia" w:ascii="宋体" w:hAnsi="宋体" w:cs="宋体"/>
          <w:color w:val="auto"/>
          <w:szCs w:val="21"/>
          <w:highlight w:val="none"/>
        </w:rPr>
        <w:t>退出磋商</w:t>
      </w:r>
      <w:bookmarkEnd w:id="81"/>
      <w:r>
        <w:rPr>
          <w:rFonts w:hint="eastAsia" w:ascii="宋体" w:hAnsi="宋体" w:cs="宋体"/>
          <w:color w:val="auto"/>
          <w:szCs w:val="21"/>
          <w:highlight w:val="none"/>
        </w:rPr>
        <w:t>，其响应文件作无效处理。</w:t>
      </w:r>
    </w:p>
    <w:p w14:paraId="18B43220">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3.5</w:t>
      </w:r>
      <w:r>
        <w:rPr>
          <w:rFonts w:hint="eastAsia" w:ascii="宋体" w:hAnsi="宋体" w:cs="宋体"/>
          <w:color w:val="auto"/>
          <w:szCs w:val="21"/>
          <w:highlight w:val="none"/>
        </w:rPr>
        <w:t>磋商中，</w:t>
      </w:r>
      <w:r>
        <w:rPr>
          <w:rFonts w:hint="eastAsia" w:ascii="宋体" w:hAnsi="宋体" w:cs="宋体"/>
          <w:color w:val="auto"/>
          <w:spacing w:val="-6"/>
          <w:szCs w:val="21"/>
          <w:highlight w:val="none"/>
        </w:rPr>
        <w:t>磋商的任何一方不得透露与磋商有关的其他供应商的技术资料、价格和其他信息。</w:t>
      </w:r>
    </w:p>
    <w:p w14:paraId="3BBF018E">
      <w:pPr>
        <w:widowControl/>
        <w:tabs>
          <w:tab w:val="left" w:pos="540"/>
        </w:tabs>
        <w:spacing w:line="360" w:lineRule="auto"/>
        <w:ind w:firstLine="420" w:firstLineChars="200"/>
        <w:jc w:val="left"/>
        <w:rPr>
          <w:rFonts w:ascii="宋体" w:hAnsi="宋体" w:cs="宋体"/>
          <w:color w:val="auto"/>
          <w:szCs w:val="21"/>
          <w:highlight w:val="none"/>
        </w:rPr>
      </w:pPr>
      <w:r>
        <w:rPr>
          <w:rFonts w:ascii="宋体" w:hAnsi="宋体" w:cs="宋体"/>
          <w:color w:val="auto"/>
          <w:szCs w:val="21"/>
          <w:highlight w:val="none"/>
        </w:rPr>
        <w:t>3.6</w:t>
      </w:r>
      <w:r>
        <w:rPr>
          <w:rFonts w:hint="eastAsia" w:ascii="宋体" w:hAnsi="宋体" w:cs="宋体"/>
          <w:color w:val="auto"/>
          <w:szCs w:val="21"/>
          <w:highlight w:val="none"/>
        </w:rPr>
        <w:t>采购代理机构对磋商过程和重要磋商内容进行记录，磋商双方在记录上签字确认。</w:t>
      </w:r>
    </w:p>
    <w:p w14:paraId="45367E8D">
      <w:pPr>
        <w:widowControl/>
        <w:tabs>
          <w:tab w:val="left" w:pos="540"/>
        </w:tabs>
        <w:spacing w:line="360" w:lineRule="auto"/>
        <w:ind w:firstLine="420" w:firstLineChars="200"/>
        <w:jc w:val="left"/>
        <w:rPr>
          <w:rFonts w:ascii="宋体" w:hAnsi="宋体" w:cs="宋体"/>
          <w:color w:val="auto"/>
          <w:szCs w:val="21"/>
          <w:highlight w:val="none"/>
        </w:rPr>
      </w:pPr>
      <w:r>
        <w:rPr>
          <w:rFonts w:ascii="宋体" w:hAnsi="宋体" w:cs="宋体"/>
          <w:color w:val="auto"/>
          <w:szCs w:val="21"/>
          <w:highlight w:val="none"/>
        </w:rPr>
        <w:t>3.7</w:t>
      </w:r>
      <w:r>
        <w:rPr>
          <w:rFonts w:hint="eastAsia" w:ascii="宋体" w:hAnsi="宋体" w:cs="宋体"/>
          <w:color w:val="auto"/>
          <w:szCs w:val="21"/>
          <w:highlight w:val="none"/>
        </w:rPr>
        <w:t>磋商过程中重新提交的响应文件，供应商可以在开启前补充、修改。</w:t>
      </w:r>
    </w:p>
    <w:p w14:paraId="556652D8">
      <w:pPr>
        <w:widowControl/>
        <w:tabs>
          <w:tab w:val="left" w:pos="540"/>
        </w:tabs>
        <w:spacing w:line="360" w:lineRule="auto"/>
        <w:ind w:firstLine="420" w:firstLineChars="200"/>
        <w:jc w:val="left"/>
        <w:rPr>
          <w:rFonts w:ascii="宋体" w:hAnsi="宋体" w:cs="宋体"/>
          <w:color w:val="auto"/>
          <w:szCs w:val="21"/>
          <w:highlight w:val="none"/>
        </w:rPr>
      </w:pPr>
      <w:r>
        <w:rPr>
          <w:rFonts w:ascii="宋体" w:hAnsi="宋体" w:cs="宋体"/>
          <w:color w:val="auto"/>
          <w:szCs w:val="21"/>
          <w:highlight w:val="none"/>
        </w:rPr>
        <w:t>3.8</w:t>
      </w:r>
      <w:r>
        <w:rPr>
          <w:rFonts w:ascii="宋体" w:hAnsi="宋体"/>
          <w:color w:val="auto"/>
          <w:szCs w:val="21"/>
          <w:highlight w:val="none"/>
        </w:rPr>
        <w:t>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7A065A9F">
      <w:pPr>
        <w:tabs>
          <w:tab w:val="left" w:pos="2835"/>
        </w:tabs>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3.9</w:t>
      </w:r>
      <w:r>
        <w:rPr>
          <w:rFonts w:hint="eastAsia" w:ascii="宋体" w:hAnsi="宋体"/>
          <w:color w:val="auto"/>
          <w:szCs w:val="21"/>
          <w:highlight w:val="none"/>
        </w:rPr>
        <w:t>对磋商过程提交的响应文件进行有效性、完整性和响应程度审查，通过审查的合格供应商不足3家的，除本章第</w:t>
      </w:r>
      <w:r>
        <w:rPr>
          <w:rFonts w:ascii="宋体" w:hAnsi="宋体"/>
          <w:color w:val="auto"/>
          <w:szCs w:val="21"/>
          <w:highlight w:val="none"/>
        </w:rPr>
        <w:t>3.8</w:t>
      </w:r>
      <w:r>
        <w:rPr>
          <w:rFonts w:hint="eastAsia" w:ascii="宋体" w:hAnsi="宋体"/>
          <w:color w:val="auto"/>
          <w:szCs w:val="21"/>
          <w:highlight w:val="none"/>
        </w:rPr>
        <w:t>条的情形外，采购人或者采购代理机构应当重新开展采购活动。</w:t>
      </w:r>
    </w:p>
    <w:p w14:paraId="6D62DDE0">
      <w:pPr>
        <w:spacing w:line="360" w:lineRule="auto"/>
        <w:ind w:firstLine="482" w:firstLineChars="200"/>
        <w:rPr>
          <w:rFonts w:ascii="宋体" w:hAnsi="宋体" w:cs="宋体"/>
          <w:color w:val="auto"/>
          <w:szCs w:val="21"/>
          <w:highlight w:val="none"/>
        </w:rPr>
      </w:pPr>
      <w:r>
        <w:rPr>
          <w:rFonts w:ascii="黑体" w:hAnsi="黑体" w:eastAsia="黑体" w:cs="宋体"/>
          <w:b/>
          <w:bCs/>
          <w:color w:val="auto"/>
          <w:sz w:val="24"/>
          <w:highlight w:val="none"/>
        </w:rPr>
        <w:t>4.</w:t>
      </w:r>
      <w:r>
        <w:rPr>
          <w:rFonts w:hint="eastAsia" w:ascii="黑体" w:hAnsi="黑体" w:eastAsia="黑体" w:cs="宋体"/>
          <w:b/>
          <w:bCs/>
          <w:color w:val="auto"/>
          <w:sz w:val="24"/>
          <w:highlight w:val="none"/>
        </w:rPr>
        <w:t xml:space="preserve"> 最后报价</w:t>
      </w:r>
    </w:p>
    <w:p w14:paraId="3DA70E06">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4</w:t>
      </w:r>
      <w:r>
        <w:rPr>
          <w:rFonts w:ascii="宋体" w:hAnsi="宋体" w:cs="宋体"/>
          <w:color w:val="auto"/>
          <w:szCs w:val="21"/>
          <w:highlight w:val="none"/>
        </w:rPr>
        <w:t>.1</w:t>
      </w:r>
      <w:r>
        <w:rPr>
          <w:rFonts w:hint="eastAsia" w:ascii="宋体" w:hAnsi="宋体" w:cs="宋体"/>
          <w:color w:val="auto"/>
          <w:szCs w:val="21"/>
          <w:highlight w:val="none"/>
        </w:rPr>
        <w:t>磋商文件能够详细列明采购标的的技术、服务要求的，磋商结束后，由磋商小组要求所有继续参加磋商的供应商在规定时间内密封提交最后报价，</w:t>
      </w:r>
      <w:r>
        <w:rPr>
          <w:rFonts w:hint="eastAsia" w:ascii="宋体" w:hAnsi="宋体" w:cs="宋体"/>
          <w:b/>
          <w:bCs/>
          <w:color w:val="auto"/>
          <w:sz w:val="21"/>
          <w:szCs w:val="21"/>
          <w:highlight w:val="none"/>
          <w:u w:val="single"/>
          <w:lang w:val="en-US" w:eastAsia="zh-CN"/>
        </w:rPr>
        <w:t>根据《财政部关于政府采购竞争性磋商采购方式管理暂行办法有关问题的补充通知》（财库〔2015〕124号）的规定，</w:t>
      </w:r>
      <w:r>
        <w:rPr>
          <w:rFonts w:hint="eastAsia" w:ascii="宋体" w:hAnsi="宋体" w:cs="宋体"/>
          <w:color w:val="auto"/>
          <w:szCs w:val="21"/>
          <w:highlight w:val="none"/>
        </w:rPr>
        <w:t>提交最后报价的供应商不得少于</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rPr>
        <w:t>家，</w:t>
      </w:r>
      <w:r>
        <w:rPr>
          <w:rFonts w:hint="eastAsia" w:ascii="宋体" w:hAnsi="宋体" w:cs="宋体"/>
          <w:color w:val="auto"/>
          <w:szCs w:val="21"/>
          <w:highlight w:val="none"/>
          <w:lang w:val="en-US" w:eastAsia="zh-CN"/>
        </w:rPr>
        <w:t>或者采购人</w:t>
      </w:r>
      <w:r>
        <w:rPr>
          <w:rFonts w:hint="eastAsia" w:ascii="宋体" w:hAnsi="宋体" w:cs="宋体"/>
          <w:color w:val="auto"/>
          <w:szCs w:val="21"/>
          <w:highlight w:val="none"/>
        </w:rPr>
        <w:t>重新采购。</w:t>
      </w:r>
    </w:p>
    <w:p w14:paraId="175CF5D7">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4</w:t>
      </w:r>
      <w:r>
        <w:rPr>
          <w:rFonts w:ascii="宋体" w:hAnsi="宋体" w:cs="宋体"/>
          <w:color w:val="auto"/>
          <w:szCs w:val="21"/>
          <w:highlight w:val="none"/>
        </w:rPr>
        <w:t>.2</w:t>
      </w:r>
      <w:r>
        <w:rPr>
          <w:rFonts w:hint="eastAsia" w:ascii="宋体" w:hAnsi="宋体" w:cs="宋体"/>
          <w:color w:val="auto"/>
          <w:szCs w:val="21"/>
          <w:highlight w:val="none"/>
        </w:rPr>
        <w:t>磋商文件不能详细列明采购标的的技术、服务要求，需经磋商由供应商提供最后设计方案或者解决方案的，磋商结束后，由磋商小组按照少数服从多数的原则投票推荐3家以上供应商的设计方案或者解决方案，并要求其在规定时间内密封提交最后报价。</w:t>
      </w:r>
    </w:p>
    <w:p w14:paraId="7C7E80AC">
      <w:pPr>
        <w:spacing w:line="360" w:lineRule="auto"/>
        <w:ind w:firstLine="420" w:firstLineChars="200"/>
        <w:rPr>
          <w:color w:val="auto"/>
          <w:szCs w:val="21"/>
          <w:highlight w:val="none"/>
        </w:rPr>
      </w:pPr>
      <w:r>
        <w:rPr>
          <w:rFonts w:ascii="宋体" w:hAnsi="宋体" w:cs="宋体"/>
          <w:color w:val="auto"/>
          <w:szCs w:val="21"/>
          <w:highlight w:val="none"/>
        </w:rPr>
        <w:t>4.3</w:t>
      </w:r>
      <w:r>
        <w:rPr>
          <w:rFonts w:hint="eastAsia" w:ascii="宋体" w:hAnsi="宋体" w:cs="宋体"/>
          <w:color w:val="auto"/>
          <w:szCs w:val="21"/>
          <w:highlight w:val="none"/>
        </w:rPr>
        <w:t xml:space="preserve"> 最后报价是供应商响应文件的有效组成部分。</w:t>
      </w:r>
      <w:r>
        <w:rPr>
          <w:color w:val="auto"/>
          <w:szCs w:val="21"/>
          <w:highlight w:val="none"/>
        </w:rPr>
        <w:t>符合《政府采购竞争性磋商采购方式管理暂行办法》（财库〔2014〕214号）第三条第四项“市场竞争不充分的科研项目，以及需要扶持的科技成果转化项目”的，提交最后报价的供应商可以为2家。</w:t>
      </w:r>
    </w:p>
    <w:p w14:paraId="41E775A9">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4.4</w:t>
      </w:r>
      <w:r>
        <w:rPr>
          <w:rFonts w:hint="eastAsia" w:ascii="宋体" w:hAnsi="宋体" w:cs="宋体"/>
          <w:color w:val="auto"/>
          <w:szCs w:val="21"/>
          <w:highlight w:val="none"/>
        </w:rPr>
        <w:t>已经提交响应文件的供应商，在提交最后报价之前，可以根据磋商情况退出磋商，退出磋商的供应商的响应文件按无效响应处理。采购人、采购代理机构将退还退出磋商的供应商的保证金。</w:t>
      </w:r>
    </w:p>
    <w:p w14:paraId="7BAF6ABC">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4.5</w:t>
      </w:r>
      <w:r>
        <w:rPr>
          <w:rFonts w:hint="eastAsia" w:ascii="宋体" w:hAnsi="宋体" w:cs="宋体"/>
          <w:color w:val="auto"/>
          <w:szCs w:val="21"/>
          <w:highlight w:val="none"/>
        </w:rPr>
        <w:t>供应商未在规定时间内提交最后报价的，视为退出磋商，其响应文件作无效处理。</w:t>
      </w:r>
    </w:p>
    <w:p w14:paraId="1C2C3B13">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4.6</w:t>
      </w:r>
      <w:r>
        <w:rPr>
          <w:rFonts w:hint="eastAsia" w:ascii="宋体" w:hAnsi="宋体" w:cs="宋体"/>
          <w:color w:val="auto"/>
          <w:szCs w:val="21"/>
          <w:highlight w:val="none"/>
        </w:rPr>
        <w:t>磋商小组收齐最后报价后统一开启，磋商小组对最后报价进行有效性、完整性和响应程度的审查。</w:t>
      </w:r>
    </w:p>
    <w:p w14:paraId="324D7289">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4.7</w:t>
      </w:r>
      <w:r>
        <w:rPr>
          <w:rFonts w:hint="eastAsia" w:ascii="宋体" w:hAnsi="宋体" w:cs="宋体"/>
          <w:color w:val="auto"/>
          <w:szCs w:val="21"/>
          <w:highlight w:val="none"/>
        </w:rPr>
        <w:t>响应文件最后报价出现前后不一致的，按照本章第</w:t>
      </w:r>
      <w:r>
        <w:rPr>
          <w:rFonts w:ascii="宋体" w:hAnsi="宋体" w:cs="宋体"/>
          <w:color w:val="auto"/>
          <w:szCs w:val="21"/>
          <w:highlight w:val="none"/>
        </w:rPr>
        <w:t>2.4</w:t>
      </w:r>
      <w:r>
        <w:rPr>
          <w:rFonts w:hint="eastAsia" w:ascii="宋体" w:hAnsi="宋体" w:cs="宋体"/>
          <w:color w:val="auto"/>
          <w:szCs w:val="21"/>
          <w:highlight w:val="none"/>
        </w:rPr>
        <w:t xml:space="preserve">条的规定修正。 </w:t>
      </w:r>
    </w:p>
    <w:p w14:paraId="41EFA000">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4.8</w:t>
      </w:r>
      <w:r>
        <w:rPr>
          <w:rFonts w:hint="eastAsia" w:ascii="宋体" w:hAnsi="宋体" w:cs="宋体"/>
          <w:color w:val="auto"/>
          <w:szCs w:val="21"/>
          <w:highlight w:val="none"/>
        </w:rPr>
        <w:t>修正后的报价出现下列情形的，按无效响应处理：</w:t>
      </w:r>
    </w:p>
    <w:p w14:paraId="362621D1">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（1）供应商不确认的；</w:t>
      </w:r>
    </w:p>
    <w:p w14:paraId="6AA47C83">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（2）经供应商确认修正后的竞标报价（包含首次报价、最后报价）超过所竞标规定的采购预算金额或者最高限价的（如本项目公布了最高限价）；</w:t>
      </w:r>
    </w:p>
    <w:p w14:paraId="2EC787D6">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（3）经供应商确认修正后的竞标报价（包含首次报价、最后报价）超过分项采购预算金额或者最高限价的（如本项目公布了最高限价）；</w:t>
      </w:r>
    </w:p>
    <w:p w14:paraId="11CB35FA">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4.9</w:t>
      </w:r>
      <w:r>
        <w:rPr>
          <w:rFonts w:hint="eastAsia" w:ascii="宋体" w:hAnsi="宋体" w:cs="宋体"/>
          <w:color w:val="auto"/>
          <w:szCs w:val="21"/>
          <w:highlight w:val="none"/>
        </w:rPr>
        <w:t>经供应商确认修正后的最后报价作为评审及签订合同的依据；</w:t>
      </w:r>
    </w:p>
    <w:p w14:paraId="5F6AEF47">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4.10</w:t>
      </w:r>
      <w:r>
        <w:rPr>
          <w:rFonts w:hint="eastAsia" w:ascii="宋体" w:hAnsi="宋体" w:cs="宋体"/>
          <w:color w:val="auto"/>
          <w:szCs w:val="21"/>
          <w:highlight w:val="none"/>
        </w:rPr>
        <w:t>最后报价结束后，磋商小组不得再与供应商进行任何形式的商谈。</w:t>
      </w:r>
    </w:p>
    <w:p w14:paraId="6ED87BE1">
      <w:pPr>
        <w:spacing w:line="360" w:lineRule="auto"/>
        <w:ind w:firstLine="482" w:firstLineChars="200"/>
        <w:rPr>
          <w:rFonts w:ascii="黑体" w:hAnsi="黑体" w:eastAsia="黑体" w:cs="宋体"/>
          <w:b/>
          <w:bCs/>
          <w:color w:val="auto"/>
          <w:sz w:val="24"/>
          <w:highlight w:val="none"/>
        </w:rPr>
      </w:pPr>
      <w:r>
        <w:rPr>
          <w:rFonts w:hint="eastAsia" w:ascii="黑体" w:hAnsi="黑体" w:eastAsia="黑体" w:cs="宋体"/>
          <w:b/>
          <w:bCs/>
          <w:color w:val="auto"/>
          <w:sz w:val="24"/>
          <w:highlight w:val="none"/>
        </w:rPr>
        <w:t>5</w:t>
      </w:r>
      <w:r>
        <w:rPr>
          <w:rFonts w:ascii="黑体" w:hAnsi="黑体" w:eastAsia="黑体" w:cs="宋体"/>
          <w:b/>
          <w:bCs/>
          <w:color w:val="auto"/>
          <w:sz w:val="24"/>
          <w:highlight w:val="none"/>
        </w:rPr>
        <w:t>.</w:t>
      </w:r>
      <w:r>
        <w:rPr>
          <w:rFonts w:hint="eastAsia" w:ascii="黑体" w:hAnsi="黑体" w:eastAsia="黑体" w:cs="宋体"/>
          <w:b/>
          <w:bCs/>
          <w:color w:val="auto"/>
          <w:sz w:val="24"/>
          <w:highlight w:val="none"/>
        </w:rPr>
        <w:t>比较与评价</w:t>
      </w:r>
    </w:p>
    <w:p w14:paraId="40FFA99F">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5.1</w:t>
      </w:r>
      <w:r>
        <w:rPr>
          <w:rFonts w:hint="eastAsia" w:ascii="宋体" w:hAnsi="宋体" w:cs="宋体"/>
          <w:color w:val="auto"/>
          <w:szCs w:val="21"/>
          <w:highlight w:val="none"/>
        </w:rPr>
        <w:t>评审方法：综合评分法。</w:t>
      </w:r>
    </w:p>
    <w:p w14:paraId="3B111FF6">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5.2</w:t>
      </w:r>
      <w:r>
        <w:rPr>
          <w:rFonts w:hint="eastAsia" w:ascii="宋体" w:hAnsi="宋体" w:cs="宋体"/>
          <w:color w:val="auto"/>
          <w:szCs w:val="21"/>
          <w:highlight w:val="none"/>
        </w:rPr>
        <w:t>经磋商确定最终采购需求和提交最后报价的供应商后，由磋商小组采用综合评分法对提交最后报价的供应商的响应文件和最后报价进行综合评分。</w:t>
      </w:r>
    </w:p>
    <w:p w14:paraId="420DB83F">
      <w:pPr>
        <w:spacing w:line="360" w:lineRule="auto"/>
        <w:ind w:firstLine="422" w:firstLineChars="200"/>
        <w:rPr>
          <w:rFonts w:ascii="宋体" w:hAnsi="宋体" w:cs="宋体"/>
          <w:b/>
          <w:bCs/>
          <w:color w:val="auto"/>
          <w:szCs w:val="21"/>
          <w:highlight w:val="none"/>
        </w:rPr>
      </w:pPr>
      <w:r>
        <w:rPr>
          <w:rFonts w:ascii="宋体" w:hAnsi="宋体" w:cs="宋体"/>
          <w:b/>
          <w:bCs/>
          <w:color w:val="auto"/>
          <w:szCs w:val="21"/>
          <w:highlight w:val="none"/>
        </w:rPr>
        <w:t>5.3</w:t>
      </w:r>
      <w:r>
        <w:rPr>
          <w:rFonts w:hint="eastAsia" w:ascii="宋体" w:hAnsi="宋体" w:cs="宋体"/>
          <w:b/>
          <w:bCs/>
          <w:color w:val="auto"/>
          <w:szCs w:val="21"/>
          <w:highlight w:val="none"/>
        </w:rPr>
        <w:t>评审时，磋商小组各成员应当独立对每个有效响应的文件进行评价、打分，然后汇总每个供应商每项评分因素的得分。</w:t>
      </w:r>
    </w:p>
    <w:p w14:paraId="22AE6B37">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（1）磋商小组按照磋商文件中规定的评审标准计算各供应商的报价得分。项目评审过程中，不得去掉最后报价中的最高报价和最低报价。</w:t>
      </w:r>
    </w:p>
    <w:p w14:paraId="0F3A8391">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（2）各供应商的得分为磋商小组所有成员的有效评分的算术平均数。</w:t>
      </w:r>
    </w:p>
    <w:p w14:paraId="32030ECB">
      <w:pPr>
        <w:spacing w:line="360" w:lineRule="auto"/>
        <w:ind w:firstLine="420" w:firstLineChars="200"/>
        <w:rPr>
          <w:rFonts w:ascii="宋体" w:hAnsi="宋体" w:cs="宋体"/>
          <w:color w:val="auto"/>
          <w:szCs w:val="21"/>
          <w:highlight w:val="none"/>
        </w:rPr>
      </w:pPr>
      <w:r>
        <w:rPr>
          <w:rFonts w:ascii="宋体" w:hAnsi="宋体" w:cs="宋体"/>
          <w:color w:val="auto"/>
          <w:szCs w:val="21"/>
          <w:highlight w:val="none"/>
        </w:rPr>
        <w:t>5.4</w:t>
      </w:r>
      <w:r>
        <w:rPr>
          <w:rFonts w:hint="eastAsia" w:ascii="宋体" w:hAnsi="宋体" w:cs="宋体"/>
          <w:color w:val="auto"/>
          <w:szCs w:val="21"/>
          <w:highlight w:val="none"/>
        </w:rPr>
        <w:t>评审价为供应商的最后报价进行政策性扣除后的价格，评审价只是作为评审时使用。最终成交供应商的成交金额等于最后报价（如有修正，以确认修正后的最后报价为准）。</w:t>
      </w:r>
    </w:p>
    <w:p w14:paraId="044F671E">
      <w:pPr>
        <w:spacing w:line="360" w:lineRule="auto"/>
        <w:ind w:firstLine="420" w:firstLineChars="200"/>
        <w:rPr>
          <w:rFonts w:ascii="宋体" w:hAnsi="宋体"/>
          <w:color w:val="auto"/>
          <w:kern w:val="0"/>
          <w:szCs w:val="21"/>
          <w:highlight w:val="none"/>
        </w:rPr>
      </w:pPr>
      <w:r>
        <w:rPr>
          <w:rFonts w:ascii="宋体" w:hAnsi="宋体" w:cs="宋体"/>
          <w:color w:val="auto"/>
          <w:szCs w:val="21"/>
          <w:highlight w:val="none"/>
        </w:rPr>
        <w:t>5.5</w:t>
      </w:r>
      <w:r>
        <w:rPr>
          <w:rFonts w:hint="eastAsia" w:ascii="宋体" w:hAnsi="宋体" w:cs="宋体"/>
          <w:color w:val="auto"/>
          <w:szCs w:val="21"/>
          <w:highlight w:val="none"/>
        </w:rPr>
        <w:t>由磋商小组根据综合评分情况，按照评审得分由高到低顺序推荐3名以上成交候选供应商，并编写评</w:t>
      </w:r>
      <w:r>
        <w:rPr>
          <w:rFonts w:hint="eastAsia" w:ascii="宋体" w:hAnsi="宋体"/>
          <w:color w:val="auto"/>
          <w:kern w:val="0"/>
          <w:szCs w:val="21"/>
          <w:highlight w:val="none"/>
        </w:rPr>
        <w:t>审报告。</w:t>
      </w:r>
      <w:r>
        <w:rPr>
          <w:rFonts w:hint="eastAsia" w:ascii="宋体" w:hAnsi="宋体"/>
          <w:bCs/>
          <w:color w:val="auto"/>
          <w:szCs w:val="21"/>
          <w:highlight w:val="none"/>
        </w:rPr>
        <w:t>符合本章第</w:t>
      </w:r>
      <w:r>
        <w:rPr>
          <w:rFonts w:hint="eastAsia" w:ascii="宋体" w:hAnsi="宋体"/>
          <w:bCs/>
          <w:color w:val="auto"/>
          <w:szCs w:val="21"/>
          <w:highlight w:val="none"/>
          <w:lang w:val="en-US" w:eastAsia="zh-CN"/>
        </w:rPr>
        <w:t>3.8条、</w:t>
      </w:r>
      <w:r>
        <w:rPr>
          <w:rFonts w:hint="eastAsia" w:ascii="宋体" w:hAnsi="宋体"/>
          <w:bCs/>
          <w:color w:val="auto"/>
          <w:szCs w:val="21"/>
          <w:highlight w:val="none"/>
        </w:rPr>
        <w:t>4.3条情形的，可以推荐2家成交候选供应商。评审得分相同的，按照最后报价（不计算价格折扣）由低到高的顺序推荐。评审得分且最后报价（不计算价格折扣）相同的，按照技术商务指标优劣顺序推荐（按技术商务得分由高到低排序）。评审得分、最后报价、技术商务得分均相同的，由磋商小组随机抽取推荐。</w:t>
      </w:r>
    </w:p>
    <w:p w14:paraId="2AC135D4">
      <w:pPr>
        <w:spacing w:line="360" w:lineRule="auto"/>
        <w:ind w:firstLine="420" w:firstLineChars="200"/>
        <w:rPr>
          <w:rFonts w:ascii="宋体" w:hAnsi="宋体"/>
          <w:color w:val="auto"/>
          <w:kern w:val="0"/>
          <w:szCs w:val="21"/>
          <w:highlight w:val="none"/>
        </w:rPr>
      </w:pPr>
      <w:r>
        <w:rPr>
          <w:rFonts w:ascii="宋体" w:hAnsi="宋体"/>
          <w:color w:val="auto"/>
          <w:kern w:val="0"/>
          <w:szCs w:val="21"/>
          <w:highlight w:val="none"/>
        </w:rPr>
        <w:t>5.6</w:t>
      </w:r>
      <w:r>
        <w:rPr>
          <w:rFonts w:hint="eastAsia" w:ascii="宋体" w:hAnsi="宋体"/>
          <w:color w:val="auto"/>
          <w:kern w:val="0"/>
          <w:szCs w:val="21"/>
          <w:highlight w:val="none"/>
        </w:rPr>
        <w:t>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F9FA09F">
      <w:pPr>
        <w:pStyle w:val="24"/>
        <w:rPr>
          <w:color w:val="auto"/>
          <w:highlight w:val="none"/>
        </w:rPr>
      </w:pPr>
    </w:p>
    <w:p w14:paraId="1A1F4E0A">
      <w:pPr>
        <w:spacing w:line="360" w:lineRule="auto"/>
        <w:jc w:val="center"/>
        <w:rPr>
          <w:rFonts w:ascii="宋体" w:hAnsi="宋体"/>
          <w:b/>
          <w:color w:val="auto"/>
          <w:sz w:val="32"/>
          <w:szCs w:val="32"/>
          <w:highlight w:val="none"/>
        </w:rPr>
      </w:pPr>
      <w:r>
        <w:rPr>
          <w:rFonts w:hint="eastAsia" w:ascii="宋体" w:hAnsi="宋体"/>
          <w:b/>
          <w:color w:val="auto"/>
          <w:sz w:val="32"/>
          <w:szCs w:val="32"/>
          <w:highlight w:val="none"/>
        </w:rPr>
        <w:t>二、评审标准</w:t>
      </w:r>
    </w:p>
    <w:p w14:paraId="633CE3E5">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6</w:t>
      </w:r>
      <w:r>
        <w:rPr>
          <w:rFonts w:ascii="宋体" w:hAnsi="宋体"/>
          <w:bCs/>
          <w:color w:val="auto"/>
          <w:szCs w:val="21"/>
          <w:highlight w:val="none"/>
        </w:rPr>
        <w:t>.</w:t>
      </w:r>
      <w:r>
        <w:rPr>
          <w:rFonts w:hint="eastAsia" w:ascii="宋体" w:hAnsi="宋体"/>
          <w:bCs/>
          <w:color w:val="auto"/>
          <w:szCs w:val="21"/>
          <w:highlight w:val="none"/>
        </w:rPr>
        <w:t>评审依据：磋商小组将以磋商响应文件为评审依据，对供应商的报价、技术、商务等方面内容按百分制打分。（计分方法按四舍五入取至百分位）</w:t>
      </w:r>
    </w:p>
    <w:tbl>
      <w:tblPr>
        <w:tblStyle w:val="31"/>
        <w:tblW w:w="90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3"/>
        <w:gridCol w:w="1130"/>
        <w:gridCol w:w="6750"/>
        <w:gridCol w:w="677"/>
      </w:tblGrid>
      <w:tr w14:paraId="67424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533" w:type="dxa"/>
            <w:vAlign w:val="center"/>
          </w:tcPr>
          <w:p w14:paraId="286D4E73">
            <w:pPr>
              <w:widowControl/>
              <w:spacing w:line="400" w:lineRule="exact"/>
              <w:jc w:val="center"/>
              <w:rPr>
                <w:rFonts w:ascii="宋体" w:hAnsi="宋体" w:cs="Tahoma"/>
                <w:b/>
                <w:bCs/>
                <w:color w:val="auto"/>
                <w:kern w:val="0"/>
                <w:szCs w:val="21"/>
                <w:highlight w:val="none"/>
              </w:rPr>
            </w:pPr>
            <w:r>
              <w:rPr>
                <w:rFonts w:hint="eastAsia" w:ascii="宋体" w:hAnsi="宋体" w:cs="Tahoma"/>
                <w:b/>
                <w:bCs/>
                <w:color w:val="auto"/>
                <w:kern w:val="0"/>
                <w:szCs w:val="21"/>
                <w:highlight w:val="none"/>
              </w:rPr>
              <w:t>序号</w:t>
            </w:r>
          </w:p>
        </w:tc>
        <w:tc>
          <w:tcPr>
            <w:tcW w:w="1130" w:type="dxa"/>
            <w:vAlign w:val="center"/>
          </w:tcPr>
          <w:p w14:paraId="4C00F4E3">
            <w:pPr>
              <w:widowControl/>
              <w:spacing w:line="400" w:lineRule="exact"/>
              <w:jc w:val="center"/>
              <w:rPr>
                <w:rFonts w:ascii="宋体" w:hAnsi="宋体" w:cs="Tahoma"/>
                <w:b/>
                <w:bCs/>
                <w:color w:val="auto"/>
                <w:kern w:val="0"/>
                <w:szCs w:val="21"/>
                <w:highlight w:val="none"/>
              </w:rPr>
            </w:pPr>
            <w:r>
              <w:rPr>
                <w:rFonts w:hint="eastAsia" w:ascii="宋体" w:hAnsi="宋体" w:cs="Tahoma"/>
                <w:b/>
                <w:bCs/>
                <w:color w:val="auto"/>
                <w:kern w:val="0"/>
                <w:szCs w:val="21"/>
                <w:highlight w:val="none"/>
              </w:rPr>
              <w:t>评审因素</w:t>
            </w:r>
          </w:p>
        </w:tc>
        <w:tc>
          <w:tcPr>
            <w:tcW w:w="6750" w:type="dxa"/>
            <w:vAlign w:val="center"/>
          </w:tcPr>
          <w:p w14:paraId="26D591CC">
            <w:pPr>
              <w:widowControl/>
              <w:spacing w:line="400" w:lineRule="exact"/>
              <w:jc w:val="center"/>
              <w:rPr>
                <w:rFonts w:ascii="宋体" w:hAnsi="宋体" w:cs="Tahoma"/>
                <w:b/>
                <w:bCs/>
                <w:color w:val="auto"/>
                <w:kern w:val="0"/>
                <w:szCs w:val="21"/>
                <w:highlight w:val="none"/>
              </w:rPr>
            </w:pPr>
            <w:r>
              <w:rPr>
                <w:rFonts w:hint="eastAsia" w:ascii="宋体" w:hAnsi="宋体" w:cs="Tahoma"/>
                <w:b/>
                <w:bCs/>
                <w:color w:val="auto"/>
                <w:kern w:val="0"/>
                <w:szCs w:val="21"/>
                <w:highlight w:val="none"/>
              </w:rPr>
              <w:t>评审因素具体内容</w:t>
            </w:r>
          </w:p>
        </w:tc>
        <w:tc>
          <w:tcPr>
            <w:tcW w:w="677" w:type="dxa"/>
            <w:vAlign w:val="center"/>
          </w:tcPr>
          <w:p w14:paraId="0D78E7D2">
            <w:pPr>
              <w:widowControl/>
              <w:spacing w:line="400" w:lineRule="exact"/>
              <w:jc w:val="center"/>
              <w:rPr>
                <w:rFonts w:ascii="宋体" w:hAnsi="宋体" w:cs="Tahoma"/>
                <w:b/>
                <w:bCs/>
                <w:color w:val="auto"/>
                <w:kern w:val="0"/>
                <w:szCs w:val="21"/>
                <w:highlight w:val="none"/>
              </w:rPr>
            </w:pPr>
            <w:r>
              <w:rPr>
                <w:rFonts w:hint="eastAsia" w:ascii="宋体" w:hAnsi="宋体" w:cs="Tahoma"/>
                <w:b/>
                <w:bCs/>
                <w:color w:val="auto"/>
                <w:kern w:val="0"/>
                <w:szCs w:val="21"/>
                <w:highlight w:val="none"/>
              </w:rPr>
              <w:t>分值</w:t>
            </w:r>
          </w:p>
        </w:tc>
      </w:tr>
      <w:tr w14:paraId="1D81E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533" w:type="dxa"/>
            <w:vAlign w:val="center"/>
          </w:tcPr>
          <w:p w14:paraId="6CFEF94B">
            <w:pPr>
              <w:widowControl/>
              <w:spacing w:line="400" w:lineRule="exact"/>
              <w:jc w:val="center"/>
              <w:rPr>
                <w:rFonts w:ascii="宋体" w:hAnsi="宋体" w:cs="Tahoma"/>
                <w:b/>
                <w:bCs/>
                <w:color w:val="auto"/>
                <w:kern w:val="0"/>
                <w:szCs w:val="21"/>
                <w:highlight w:val="none"/>
              </w:rPr>
            </w:pPr>
            <w:r>
              <w:rPr>
                <w:rFonts w:hint="eastAsia" w:ascii="宋体" w:hAnsi="宋体" w:cs="Tahoma"/>
                <w:b/>
                <w:bCs/>
                <w:color w:val="auto"/>
                <w:kern w:val="0"/>
                <w:szCs w:val="21"/>
                <w:highlight w:val="none"/>
              </w:rPr>
              <w:t>1</w:t>
            </w:r>
          </w:p>
        </w:tc>
        <w:tc>
          <w:tcPr>
            <w:tcW w:w="1130" w:type="dxa"/>
            <w:vAlign w:val="center"/>
          </w:tcPr>
          <w:p w14:paraId="53F35C22">
            <w:pPr>
              <w:widowControl/>
              <w:spacing w:line="400" w:lineRule="exact"/>
              <w:jc w:val="center"/>
              <w:rPr>
                <w:rFonts w:ascii="宋体" w:hAnsi="宋体" w:cs="Tahoma"/>
                <w:b/>
                <w:bCs/>
                <w:color w:val="auto"/>
                <w:kern w:val="0"/>
                <w:szCs w:val="21"/>
                <w:highlight w:val="none"/>
              </w:rPr>
            </w:pPr>
            <w:r>
              <w:rPr>
                <w:rFonts w:hint="eastAsia" w:ascii="宋体" w:hAnsi="宋体" w:cs="Tahoma"/>
                <w:b/>
                <w:bCs/>
                <w:color w:val="auto"/>
                <w:kern w:val="0"/>
                <w:szCs w:val="21"/>
                <w:highlight w:val="none"/>
              </w:rPr>
              <w:t>价格分</w:t>
            </w:r>
          </w:p>
        </w:tc>
        <w:tc>
          <w:tcPr>
            <w:tcW w:w="6750" w:type="dxa"/>
          </w:tcPr>
          <w:p w14:paraId="497B9EB4">
            <w:pPr>
              <w:pStyle w:val="18"/>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hAnsi="宋体" w:cs="Courier New"/>
                <w:bCs/>
                <w:color w:val="auto"/>
                <w:kern w:val="2"/>
                <w:sz w:val="21"/>
                <w:highlight w:val="none"/>
              </w:rPr>
            </w:pPr>
            <w:r>
              <w:rPr>
                <w:rFonts w:hint="eastAsia" w:cs="Courier New"/>
                <w:b/>
                <w:color w:val="auto"/>
                <w:kern w:val="2"/>
                <w:sz w:val="21"/>
                <w:highlight w:val="none"/>
                <w:lang w:val="en-US" w:eastAsia="zh-CN" w:bidi="ar-SA"/>
              </w:rPr>
              <w:t>1.</w:t>
            </w:r>
            <w:r>
              <w:rPr>
                <w:rFonts w:hint="eastAsia" w:cs="Courier New"/>
                <w:b/>
                <w:color w:val="auto"/>
                <w:kern w:val="2"/>
                <w:sz w:val="21"/>
                <w:highlight w:val="none"/>
                <w:lang w:bidi="ar-SA"/>
              </w:rPr>
              <w:t>本项目以</w:t>
            </w:r>
            <w:r>
              <w:rPr>
                <w:rFonts w:hint="eastAsia"/>
                <w:b/>
                <w:bCs/>
                <w:color w:val="auto"/>
                <w:sz w:val="21"/>
                <w:highlight w:val="none"/>
                <w:lang w:eastAsia="zh-CN"/>
              </w:rPr>
              <w:t>供应商</w:t>
            </w:r>
            <w:r>
              <w:rPr>
                <w:rFonts w:hint="eastAsia" w:cs="Courier New"/>
                <w:b/>
                <w:color w:val="auto"/>
                <w:kern w:val="2"/>
                <w:sz w:val="21"/>
                <w:highlight w:val="none"/>
                <w:lang w:bidi="ar-SA"/>
              </w:rPr>
              <w:t>最终</w:t>
            </w:r>
            <w:r>
              <w:rPr>
                <w:rFonts w:hint="eastAsia" w:cs="Courier New"/>
                <w:b/>
                <w:color w:val="auto"/>
                <w:kern w:val="2"/>
                <w:sz w:val="21"/>
                <w:highlight w:val="none"/>
                <w:lang w:eastAsia="zh-CN" w:bidi="ar-SA"/>
              </w:rPr>
              <w:t>人工费综合</w:t>
            </w:r>
            <w:r>
              <w:rPr>
                <w:rFonts w:hint="eastAsia" w:cs="Courier New"/>
                <w:b/>
                <w:color w:val="auto"/>
                <w:kern w:val="2"/>
                <w:sz w:val="21"/>
                <w:highlight w:val="none"/>
                <w:lang w:bidi="ar-SA"/>
              </w:rPr>
              <w:t>单价合计</w:t>
            </w:r>
            <w:r>
              <w:rPr>
                <w:rFonts w:hint="eastAsia" w:cs="宋体"/>
                <w:b/>
                <w:bCs/>
                <w:color w:val="auto"/>
                <w:sz w:val="21"/>
                <w:highlight w:val="none"/>
                <w:lang w:bidi="ar-SA"/>
              </w:rPr>
              <w:t>计算价格分</w:t>
            </w:r>
            <w:r>
              <w:rPr>
                <w:rFonts w:hint="eastAsia" w:cs="Courier New"/>
                <w:b/>
                <w:color w:val="auto"/>
                <w:kern w:val="2"/>
                <w:sz w:val="21"/>
                <w:highlight w:val="none"/>
                <w:lang w:bidi="ar-SA"/>
              </w:rPr>
              <w:t>。</w:t>
            </w:r>
          </w:p>
          <w:p w14:paraId="510B32C8">
            <w:pPr>
              <w:pStyle w:val="18"/>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Ansi="宋体" w:cs="Courier New"/>
                <w:bCs/>
                <w:color w:val="auto"/>
                <w:kern w:val="2"/>
                <w:sz w:val="21"/>
                <w:highlight w:val="none"/>
              </w:rPr>
            </w:pPr>
            <w:r>
              <w:rPr>
                <w:rFonts w:hint="eastAsia" w:hAnsi="宋体" w:cs="Courier New"/>
                <w:bCs/>
                <w:color w:val="auto"/>
                <w:kern w:val="2"/>
                <w:sz w:val="21"/>
                <w:highlight w:val="none"/>
                <w:lang w:val="en-US" w:eastAsia="zh-CN"/>
              </w:rPr>
              <w:t>2</w:t>
            </w:r>
            <w:r>
              <w:rPr>
                <w:rFonts w:hint="eastAsia" w:hAnsi="宋体" w:cs="Courier New"/>
                <w:bCs/>
                <w:color w:val="auto"/>
                <w:kern w:val="2"/>
                <w:sz w:val="21"/>
                <w:highlight w:val="none"/>
              </w:rPr>
              <w:t>.评审价为供应商的最后报价进行政策性扣除后的价格，评审价只是作为评审时使用。最终成交供应商的成交金额等于最后报价（如有修正，以确认修正后的最后报价为准）。</w:t>
            </w:r>
          </w:p>
          <w:p w14:paraId="3484D04E">
            <w:pPr>
              <w:pStyle w:val="18"/>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Ansi="宋体" w:cs="Courier New"/>
                <w:bCs/>
                <w:color w:val="auto"/>
                <w:kern w:val="2"/>
                <w:sz w:val="21"/>
                <w:highlight w:val="none"/>
              </w:rPr>
            </w:pPr>
            <w:r>
              <w:rPr>
                <w:rFonts w:hint="eastAsia" w:hAnsi="宋体" w:cs="Courier New"/>
                <w:bCs/>
                <w:color w:val="auto"/>
                <w:kern w:val="2"/>
                <w:sz w:val="21"/>
                <w:highlight w:val="none"/>
                <w:lang w:val="en-US" w:eastAsia="zh-CN"/>
              </w:rPr>
              <w:t>3</w:t>
            </w:r>
            <w:r>
              <w:rPr>
                <w:rFonts w:hint="eastAsia" w:hAnsi="宋体" w:cs="Courier New"/>
                <w:bCs/>
                <w:color w:val="auto"/>
                <w:kern w:val="2"/>
                <w:sz w:val="21"/>
                <w:highlight w:val="none"/>
              </w:rPr>
              <w:t>.政府采购政策性扣除计算方法</w:t>
            </w:r>
          </w:p>
          <w:p w14:paraId="6BCB9B64">
            <w:pPr>
              <w:pStyle w:val="18"/>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Ansi="宋体" w:cs="Courier New"/>
                <w:bCs/>
                <w:color w:val="auto"/>
                <w:kern w:val="2"/>
                <w:sz w:val="21"/>
                <w:highlight w:val="none"/>
              </w:rPr>
            </w:pPr>
            <w:r>
              <w:rPr>
                <w:rFonts w:hint="eastAsia" w:hAnsi="宋体" w:cs="Courier New"/>
                <w:bCs/>
                <w:color w:val="auto"/>
                <w:kern w:val="2"/>
                <w:sz w:val="21"/>
                <w:highlight w:val="none"/>
              </w:rPr>
              <w:t>（1）按照《政府采购促进中小企业发展管理办法》（财库[2020]46号）和《财政部关于进一步加大政府采购支持中小企业力度的通知》（财库〔2022〕19号）的规定，服务由小型或微型企业承接</w:t>
            </w:r>
            <w:r>
              <w:rPr>
                <w:rFonts w:hint="eastAsia"/>
                <w:color w:val="auto"/>
                <w:sz w:val="21"/>
                <w:szCs w:val="21"/>
                <w:highlight w:val="none"/>
                <w:lang w:eastAsia="zh-CN"/>
              </w:rPr>
              <w:t>（即提供服务的人员为中小企业依照《中华人民共和国劳动合同法》订立劳动合同的从业人员）</w:t>
            </w:r>
            <w:r>
              <w:rPr>
                <w:rFonts w:hint="eastAsia" w:hAnsi="宋体" w:cs="Courier New"/>
                <w:bCs/>
                <w:color w:val="auto"/>
                <w:kern w:val="2"/>
                <w:sz w:val="21"/>
                <w:highlight w:val="none"/>
              </w:rPr>
              <w:t>，且在其响应文件中提供《中小企业声明函》的，对其最后报价给予</w:t>
            </w:r>
            <w:r>
              <w:rPr>
                <w:rFonts w:hAnsi="宋体" w:cs="Courier New"/>
                <w:bCs/>
                <w:color w:val="auto"/>
                <w:kern w:val="2"/>
                <w:sz w:val="21"/>
                <w:highlight w:val="none"/>
              </w:rPr>
              <w:t>10</w:t>
            </w:r>
            <w:r>
              <w:rPr>
                <w:rFonts w:hint="eastAsia" w:hAnsi="宋体" w:cs="Courier New"/>
                <w:bCs/>
                <w:color w:val="auto"/>
                <w:kern w:val="2"/>
                <w:sz w:val="21"/>
                <w:highlight w:val="none"/>
              </w:rPr>
              <w:t>%的扣除。</w:t>
            </w:r>
          </w:p>
          <w:p w14:paraId="1EAEF011">
            <w:pPr>
              <w:pStyle w:val="18"/>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Ansi="宋体" w:cs="Courier New"/>
                <w:bCs/>
                <w:color w:val="auto"/>
                <w:kern w:val="2"/>
                <w:sz w:val="21"/>
                <w:highlight w:val="none"/>
              </w:rPr>
            </w:pPr>
            <w:r>
              <w:rPr>
                <w:rFonts w:hint="eastAsia" w:hAnsi="宋体" w:cs="Courier New"/>
                <w:bCs/>
                <w:color w:val="auto"/>
                <w:kern w:val="2"/>
                <w:sz w:val="21"/>
                <w:highlight w:val="none"/>
              </w:rPr>
              <w:t>（2）按照《财政部、司法部关于政府采购支持监狱企业发展有关问题的通知》（财库〔2014〕68号）的规定，监狱企业视同小型、微型企业，享受预留份额、评审中价格扣除等促进中小企业发展的政府采购政策。监狱企业参加政府采购活动时，应当提供由省级以上监狱管理局、戒毒管理局（含新疆生产建设兵团）出具的属于监狱企业的证明文件。不重复享受政策。</w:t>
            </w:r>
          </w:p>
          <w:p w14:paraId="2F28E289">
            <w:pPr>
              <w:pStyle w:val="18"/>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Ansi="宋体" w:cs="Courier New"/>
                <w:bCs/>
                <w:color w:val="auto"/>
                <w:kern w:val="2"/>
                <w:sz w:val="21"/>
                <w:highlight w:val="none"/>
              </w:rPr>
            </w:pPr>
            <w:r>
              <w:rPr>
                <w:rFonts w:hint="eastAsia" w:hAnsi="宋体" w:cs="Courier New"/>
                <w:bCs/>
                <w:color w:val="auto"/>
                <w:kern w:val="2"/>
                <w:sz w:val="21"/>
                <w:highlight w:val="none"/>
              </w:rPr>
              <w:t>（3）按照《关于促进残疾人就业政府采购政策的通知》（财库〔2017〕141号）的规定，残疾人福利性单位视同小型、微型企业，享受预留份额、评审中价格扣除等促进中小企业发展的政府采购政策。残疾人福利性单位参加政府采购活动时，应当提供该通知规定的《残疾人福利性单位声明函》，并对声明的真实性负责。残疾人福利性单位属于小型、微型企业的，不重复享受政策。</w:t>
            </w:r>
          </w:p>
          <w:p w14:paraId="5E635D4E">
            <w:pPr>
              <w:pStyle w:val="18"/>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Ansi="宋体" w:cs="Courier New"/>
                <w:bCs/>
                <w:color w:val="auto"/>
                <w:kern w:val="2"/>
                <w:sz w:val="21"/>
                <w:highlight w:val="none"/>
              </w:rPr>
            </w:pPr>
            <w:r>
              <w:rPr>
                <w:rFonts w:hint="eastAsia" w:hAnsi="宋体" w:cs="Courier New"/>
                <w:bCs/>
                <w:color w:val="auto"/>
                <w:kern w:val="2"/>
                <w:sz w:val="21"/>
                <w:highlight w:val="none"/>
              </w:rPr>
              <w:t>（4）政策性扣除计算方法。</w:t>
            </w:r>
          </w:p>
          <w:p w14:paraId="6398E05D">
            <w:pPr>
              <w:pStyle w:val="18"/>
              <w:keepNext w:val="0"/>
              <w:keepLines w:val="0"/>
              <w:pageBreakBefore w:val="0"/>
              <w:widowControl w:val="0"/>
              <w:kinsoku/>
              <w:wordWrap/>
              <w:overflowPunct/>
              <w:topLinePunct w:val="0"/>
              <w:autoSpaceDE/>
              <w:autoSpaceDN/>
              <w:bidi w:val="0"/>
              <w:adjustRightInd/>
              <w:snapToGrid/>
              <w:spacing w:line="360" w:lineRule="auto"/>
              <w:ind w:firstLine="400" w:firstLineChars="200"/>
              <w:textAlignment w:val="auto"/>
              <w:rPr>
                <w:rFonts w:hAnsi="宋体" w:cs="Courier New"/>
                <w:bCs/>
                <w:color w:val="auto"/>
                <w:kern w:val="2"/>
                <w:sz w:val="21"/>
                <w:highlight w:val="none"/>
              </w:rPr>
            </w:pPr>
            <w:r>
              <w:rPr>
                <w:rFonts w:hint="eastAsia" w:ascii="宋体" w:hAnsi="宋体" w:eastAsia="宋体" w:cs="宋体"/>
                <w:color w:val="auto"/>
                <w:szCs w:val="21"/>
                <w:highlight w:val="none"/>
              </w:rPr>
              <w:t>在服务采购项目中，服务由小微企业承接</w:t>
            </w:r>
            <w:r>
              <w:rPr>
                <w:rFonts w:hint="eastAsia" w:ascii="宋体" w:hAnsi="宋体" w:eastAsia="宋体" w:cs="宋体"/>
                <w:color w:val="auto"/>
                <w:szCs w:val="21"/>
                <w:highlight w:val="none"/>
                <w:lang w:eastAsia="zh-CN"/>
              </w:rPr>
              <w:t>，</w:t>
            </w:r>
            <w:r>
              <w:rPr>
                <w:rFonts w:hint="eastAsia" w:hAnsi="宋体" w:cs="Courier New"/>
                <w:bCs/>
                <w:color w:val="auto"/>
                <w:kern w:val="2"/>
                <w:sz w:val="21"/>
                <w:highlight w:val="none"/>
              </w:rPr>
              <w:t>符合以上要求的，</w:t>
            </w:r>
            <w:r>
              <w:rPr>
                <w:rFonts w:hint="eastAsia" w:hAnsi="宋体" w:cs="Courier New"/>
                <w:bCs/>
                <w:color w:val="auto"/>
                <w:kern w:val="2"/>
                <w:sz w:val="21"/>
                <w:highlight w:val="none"/>
                <w:lang w:eastAsia="zh-CN"/>
              </w:rPr>
              <w:t>对</w:t>
            </w:r>
            <w:r>
              <w:rPr>
                <w:rFonts w:hint="eastAsia" w:hAnsi="宋体" w:cs="Courier New"/>
                <w:bCs/>
                <w:color w:val="auto"/>
                <w:kern w:val="2"/>
                <w:sz w:val="21"/>
                <w:highlight w:val="none"/>
              </w:rPr>
              <w:t>该供应商的最后报价给予</w:t>
            </w:r>
            <w:r>
              <w:rPr>
                <w:rFonts w:hAnsi="宋体" w:cs="Courier New"/>
                <w:bCs/>
                <w:color w:val="auto"/>
                <w:kern w:val="2"/>
                <w:sz w:val="21"/>
                <w:highlight w:val="none"/>
              </w:rPr>
              <w:t>10</w:t>
            </w:r>
            <w:r>
              <w:rPr>
                <w:rFonts w:hint="eastAsia" w:hAnsi="宋体" w:cs="Courier New"/>
                <w:bCs/>
                <w:color w:val="auto"/>
                <w:kern w:val="2"/>
                <w:sz w:val="21"/>
                <w:highlight w:val="none"/>
              </w:rPr>
              <w:t>%的扣除，扣除后的价格为评审价，即评审价=最后报价×（1-</w:t>
            </w:r>
            <w:r>
              <w:rPr>
                <w:rFonts w:hAnsi="宋体" w:cs="Courier New"/>
                <w:bCs/>
                <w:color w:val="auto"/>
                <w:kern w:val="2"/>
                <w:sz w:val="21"/>
                <w:highlight w:val="none"/>
              </w:rPr>
              <w:t>10</w:t>
            </w:r>
            <w:r>
              <w:rPr>
                <w:rFonts w:hint="eastAsia" w:hAnsi="宋体" w:cs="Courier New"/>
                <w:bCs/>
                <w:color w:val="auto"/>
                <w:kern w:val="2"/>
                <w:sz w:val="21"/>
                <w:highlight w:val="none"/>
              </w:rPr>
              <w:t>%）；除上述情况外，评审价=最后报价。</w:t>
            </w:r>
          </w:p>
          <w:p w14:paraId="09CA1AEA">
            <w:pPr>
              <w:pStyle w:val="18"/>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Ansi="宋体" w:cs="Courier New"/>
                <w:bCs/>
                <w:color w:val="auto"/>
                <w:kern w:val="2"/>
                <w:sz w:val="21"/>
                <w:highlight w:val="none"/>
              </w:rPr>
            </w:pPr>
            <w:r>
              <w:rPr>
                <w:rFonts w:hint="eastAsia" w:hAnsi="宋体" w:cs="Courier New"/>
                <w:bCs/>
                <w:color w:val="auto"/>
                <w:kern w:val="2"/>
                <w:sz w:val="21"/>
                <w:highlight w:val="none"/>
              </w:rPr>
              <w:t>（</w:t>
            </w:r>
            <w:r>
              <w:rPr>
                <w:rFonts w:hint="eastAsia" w:hAnsi="宋体" w:cs="Courier New"/>
                <w:bCs/>
                <w:color w:val="auto"/>
                <w:kern w:val="2"/>
                <w:sz w:val="21"/>
                <w:highlight w:val="none"/>
                <w:lang w:val="en-US" w:eastAsia="zh-CN"/>
              </w:rPr>
              <w:t>6</w:t>
            </w:r>
            <w:r>
              <w:rPr>
                <w:rFonts w:hint="eastAsia" w:hAnsi="宋体" w:cs="Courier New"/>
                <w:bCs/>
                <w:color w:val="auto"/>
                <w:kern w:val="2"/>
                <w:sz w:val="21"/>
                <w:highlight w:val="none"/>
              </w:rPr>
              <w:t>）以进入比较与评价环节的最低的评审价为基准价，基准价得分为</w:t>
            </w:r>
            <w:r>
              <w:rPr>
                <w:rFonts w:hint="eastAsia" w:hAnsi="宋体" w:cs="Courier New"/>
                <w:bCs/>
                <w:color w:val="auto"/>
                <w:kern w:val="2"/>
                <w:sz w:val="21"/>
                <w:highlight w:val="none"/>
                <w:lang w:val="en-US" w:eastAsia="zh-CN"/>
              </w:rPr>
              <w:t>20</w:t>
            </w:r>
            <w:r>
              <w:rPr>
                <w:rFonts w:hint="eastAsia" w:hAnsi="宋体" w:cs="Courier New"/>
                <w:bCs/>
                <w:color w:val="auto"/>
                <w:kern w:val="2"/>
                <w:sz w:val="21"/>
                <w:highlight w:val="none"/>
              </w:rPr>
              <w:t>分。</w:t>
            </w:r>
          </w:p>
          <w:p w14:paraId="7DA56F16">
            <w:pPr>
              <w:pStyle w:val="18"/>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Ansi="宋体" w:cs="Courier New"/>
                <w:bCs/>
                <w:color w:val="auto"/>
                <w:kern w:val="2"/>
                <w:sz w:val="21"/>
                <w:highlight w:val="none"/>
              </w:rPr>
            </w:pPr>
            <w:r>
              <w:rPr>
                <w:rFonts w:hint="eastAsia" w:hAnsi="宋体" w:cs="Courier New"/>
                <w:bCs/>
                <w:color w:val="auto"/>
                <w:kern w:val="2"/>
                <w:sz w:val="21"/>
                <w:highlight w:val="none"/>
              </w:rPr>
              <w:t>（</w:t>
            </w:r>
            <w:r>
              <w:rPr>
                <w:rFonts w:hint="eastAsia" w:hAnsi="宋体" w:cs="Courier New"/>
                <w:bCs/>
                <w:color w:val="auto"/>
                <w:kern w:val="2"/>
                <w:sz w:val="21"/>
                <w:highlight w:val="none"/>
                <w:lang w:val="en-US" w:eastAsia="zh-CN"/>
              </w:rPr>
              <w:t>7</w:t>
            </w:r>
            <w:r>
              <w:rPr>
                <w:rFonts w:hint="eastAsia" w:hAnsi="宋体" w:cs="Courier New"/>
                <w:bCs/>
                <w:color w:val="auto"/>
                <w:kern w:val="2"/>
                <w:sz w:val="21"/>
                <w:highlight w:val="none"/>
              </w:rPr>
              <w:t>）价格分计算公式：</w:t>
            </w:r>
          </w:p>
          <w:p w14:paraId="5598E93A">
            <w:pPr>
              <w:pStyle w:val="18"/>
              <w:spacing w:line="360" w:lineRule="auto"/>
              <w:ind w:firstLine="1877" w:firstLineChars="894"/>
              <w:jc w:val="left"/>
              <w:rPr>
                <w:rFonts w:asciiTheme="minorEastAsia" w:hAnsiTheme="minorEastAsia" w:eastAsiaTheme="minorEastAsia" w:cstheme="minorEastAsia"/>
                <w:color w:val="auto"/>
                <w:sz w:val="21"/>
                <w:highlight w:val="none"/>
              </w:rPr>
            </w:pPr>
            <w:r>
              <w:rPr>
                <w:rFonts w:hint="eastAsia" w:asciiTheme="minorEastAsia" w:hAnsiTheme="minorEastAsia" w:eastAsiaTheme="minorEastAsia" w:cstheme="minorEastAsia"/>
                <w:color w:val="auto"/>
                <w:sz w:val="21"/>
                <w:highlight w:val="none"/>
              </w:rPr>
              <w:t>有效供应商最低</w:t>
            </w:r>
            <w:r>
              <w:rPr>
                <w:rFonts w:hint="eastAsia" w:asciiTheme="minorEastAsia" w:hAnsiTheme="minorEastAsia" w:eastAsiaTheme="minorEastAsia" w:cstheme="minorEastAsia"/>
                <w:color w:val="auto"/>
                <w:sz w:val="21"/>
                <w:highlight w:val="none"/>
                <w:lang w:eastAsia="zh-CN"/>
              </w:rPr>
              <w:t>评审</w:t>
            </w:r>
            <w:r>
              <w:rPr>
                <w:rFonts w:hint="eastAsia" w:asciiTheme="minorEastAsia" w:hAnsiTheme="minorEastAsia" w:eastAsiaTheme="minorEastAsia" w:cstheme="minorEastAsia"/>
                <w:color w:val="auto"/>
                <w:sz w:val="21"/>
                <w:highlight w:val="none"/>
              </w:rPr>
              <w:t>报价（金额）</w:t>
            </w:r>
          </w:p>
          <w:p w14:paraId="667C2614">
            <w:pPr>
              <w:spacing w:line="360" w:lineRule="auto"/>
              <w:ind w:firstLine="420" w:firstLineChars="200"/>
              <w:jc w:val="left"/>
              <w:rPr>
                <w:rFonts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报价得分＝</w:t>
            </w:r>
            <w:r>
              <w:rPr>
                <w:rFonts w:hint="eastAsia" w:asciiTheme="minorEastAsia" w:hAnsiTheme="minorEastAsia" w:eastAsiaTheme="minorEastAsia" w:cstheme="minorEastAsia"/>
                <w:b/>
                <w:strike/>
                <w:color w:val="auto"/>
                <w:szCs w:val="21"/>
                <w:highlight w:val="none"/>
              </w:rPr>
              <w:t xml:space="preserve">                                  </w:t>
            </w:r>
            <w:r>
              <w:rPr>
                <w:rFonts w:hint="eastAsia" w:asciiTheme="minorEastAsia" w:hAnsiTheme="minorEastAsia" w:eastAsiaTheme="minorEastAsia" w:cstheme="minorEastAsia"/>
                <w:color w:val="auto"/>
                <w:szCs w:val="21"/>
                <w:highlight w:val="none"/>
              </w:rPr>
              <w:t>×</w:t>
            </w:r>
            <w:r>
              <w:rPr>
                <w:rFonts w:hint="eastAsia" w:asciiTheme="minorEastAsia" w:hAnsiTheme="minorEastAsia" w:eastAsiaTheme="minorEastAsia" w:cstheme="minorEastAsia"/>
                <w:color w:val="auto"/>
                <w:szCs w:val="21"/>
                <w:highlight w:val="none"/>
                <w:lang w:val="en-US" w:eastAsia="zh-CN"/>
              </w:rPr>
              <w:t>30</w:t>
            </w:r>
            <w:r>
              <w:rPr>
                <w:rFonts w:hint="eastAsia" w:asciiTheme="minorEastAsia" w:hAnsiTheme="minorEastAsia" w:eastAsiaTheme="minorEastAsia" w:cstheme="minorEastAsia"/>
                <w:color w:val="auto"/>
                <w:szCs w:val="21"/>
                <w:highlight w:val="none"/>
              </w:rPr>
              <w:t>分</w:t>
            </w:r>
          </w:p>
          <w:p w14:paraId="150139D7">
            <w:pPr>
              <w:spacing w:line="360" w:lineRule="auto"/>
              <w:jc w:val="left"/>
              <w:rPr>
                <w:rFonts w:hAnsi="宋体" w:cs="Courier New"/>
                <w:bCs/>
                <w:color w:val="auto"/>
                <w:highlight w:val="none"/>
              </w:rPr>
            </w:pPr>
            <w:r>
              <w:rPr>
                <w:rFonts w:hint="eastAsia" w:asciiTheme="minorEastAsia" w:hAnsiTheme="minorEastAsia" w:eastAsiaTheme="minorEastAsia" w:cstheme="minorEastAsia"/>
                <w:color w:val="auto"/>
                <w:szCs w:val="21"/>
                <w:highlight w:val="none"/>
              </w:rPr>
              <w:t xml:space="preserve">              </w:t>
            </w:r>
            <w:r>
              <w:rPr>
                <w:rFonts w:hint="eastAsia" w:asciiTheme="minorEastAsia" w:hAnsiTheme="minorEastAsia" w:eastAsiaTheme="minorEastAsia" w:cstheme="minorEastAsia"/>
                <w:color w:val="auto"/>
                <w:szCs w:val="21"/>
                <w:highlight w:val="none"/>
                <w:lang w:val="en-US" w:eastAsia="zh-CN"/>
              </w:rPr>
              <w:t xml:space="preserve">    </w:t>
            </w:r>
            <w:r>
              <w:rPr>
                <w:rFonts w:hint="eastAsia" w:asciiTheme="minorEastAsia" w:hAnsiTheme="minorEastAsia" w:eastAsiaTheme="minorEastAsia" w:cstheme="minorEastAsia"/>
                <w:color w:val="auto"/>
                <w:szCs w:val="21"/>
                <w:highlight w:val="none"/>
              </w:rPr>
              <w:t>某有效供应商</w:t>
            </w:r>
            <w:r>
              <w:rPr>
                <w:rFonts w:hint="eastAsia" w:asciiTheme="minorEastAsia" w:hAnsiTheme="minorEastAsia" w:eastAsiaTheme="minorEastAsia" w:cstheme="minorEastAsia"/>
                <w:color w:val="auto"/>
                <w:sz w:val="21"/>
                <w:highlight w:val="none"/>
                <w:lang w:eastAsia="zh-CN"/>
              </w:rPr>
              <w:t>评审</w:t>
            </w:r>
            <w:r>
              <w:rPr>
                <w:rFonts w:hint="eastAsia" w:asciiTheme="minorEastAsia" w:hAnsiTheme="minorEastAsia" w:eastAsiaTheme="minorEastAsia" w:cstheme="minorEastAsia"/>
                <w:color w:val="auto"/>
                <w:szCs w:val="21"/>
                <w:highlight w:val="none"/>
              </w:rPr>
              <w:t>报价（金额）</w:t>
            </w:r>
          </w:p>
        </w:tc>
        <w:tc>
          <w:tcPr>
            <w:tcW w:w="677" w:type="dxa"/>
            <w:vAlign w:val="center"/>
          </w:tcPr>
          <w:p w14:paraId="54D7A608">
            <w:pPr>
              <w:widowControl/>
              <w:spacing w:line="400" w:lineRule="exact"/>
              <w:jc w:val="center"/>
              <w:rPr>
                <w:rFonts w:ascii="宋体" w:hAnsi="宋体" w:cs="Tahoma"/>
                <w:color w:val="auto"/>
                <w:kern w:val="0"/>
                <w:szCs w:val="21"/>
                <w:highlight w:val="none"/>
              </w:rPr>
            </w:pPr>
            <w:r>
              <w:rPr>
                <w:rFonts w:hint="eastAsia" w:ascii="宋体" w:hAnsi="宋体" w:cs="Tahoma"/>
                <w:b/>
                <w:bCs/>
                <w:color w:val="auto"/>
                <w:kern w:val="0"/>
                <w:szCs w:val="21"/>
                <w:highlight w:val="none"/>
                <w:lang w:val="en-US" w:eastAsia="zh-CN"/>
              </w:rPr>
              <w:t>30</w:t>
            </w:r>
            <w:r>
              <w:rPr>
                <w:rFonts w:hint="eastAsia" w:ascii="宋体" w:hAnsi="宋体" w:cs="Tahoma"/>
                <w:b/>
                <w:bCs/>
                <w:color w:val="auto"/>
                <w:kern w:val="0"/>
                <w:szCs w:val="21"/>
                <w:highlight w:val="none"/>
              </w:rPr>
              <w:t>分</w:t>
            </w:r>
          </w:p>
        </w:tc>
      </w:tr>
      <w:tr w14:paraId="7A6B6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533" w:type="dxa"/>
            <w:vAlign w:val="center"/>
          </w:tcPr>
          <w:p w14:paraId="38DBF95E">
            <w:pPr>
              <w:widowControl/>
              <w:spacing w:line="400" w:lineRule="exact"/>
              <w:jc w:val="center"/>
              <w:rPr>
                <w:rFonts w:ascii="宋体" w:hAnsi="宋体" w:cs="Tahoma"/>
                <w:b/>
                <w:bCs w:val="0"/>
                <w:color w:val="auto"/>
                <w:kern w:val="0"/>
                <w:szCs w:val="21"/>
                <w:highlight w:val="none"/>
              </w:rPr>
            </w:pPr>
            <w:r>
              <w:rPr>
                <w:rFonts w:hint="eastAsia" w:ascii="宋体" w:hAnsi="宋体"/>
                <w:b/>
                <w:bCs w:val="0"/>
                <w:color w:val="auto"/>
                <w:kern w:val="0"/>
                <w:szCs w:val="21"/>
                <w:highlight w:val="none"/>
              </w:rPr>
              <w:t>2</w:t>
            </w:r>
          </w:p>
        </w:tc>
        <w:tc>
          <w:tcPr>
            <w:tcW w:w="1130" w:type="dxa"/>
            <w:vAlign w:val="center"/>
          </w:tcPr>
          <w:p w14:paraId="3BFC2C48">
            <w:pPr>
              <w:widowControl/>
              <w:spacing w:line="400" w:lineRule="exact"/>
              <w:jc w:val="center"/>
              <w:rPr>
                <w:rFonts w:ascii="宋体" w:hAnsi="宋体" w:cs="Tahoma"/>
                <w:b/>
                <w:bCs w:val="0"/>
                <w:color w:val="auto"/>
                <w:kern w:val="0"/>
                <w:szCs w:val="21"/>
                <w:highlight w:val="none"/>
              </w:rPr>
            </w:pPr>
            <w:r>
              <w:rPr>
                <w:rFonts w:hint="eastAsia" w:ascii="宋体" w:hAnsi="宋体"/>
                <w:b/>
                <w:bCs w:val="0"/>
                <w:color w:val="auto"/>
                <w:kern w:val="0"/>
                <w:szCs w:val="21"/>
                <w:highlight w:val="none"/>
              </w:rPr>
              <w:t>技术分</w:t>
            </w:r>
          </w:p>
        </w:tc>
        <w:tc>
          <w:tcPr>
            <w:tcW w:w="7427" w:type="dxa"/>
            <w:gridSpan w:val="2"/>
          </w:tcPr>
          <w:p w14:paraId="75DD8F34">
            <w:pPr>
              <w:widowControl/>
              <w:spacing w:line="400" w:lineRule="exact"/>
              <w:jc w:val="center"/>
              <w:rPr>
                <w:rFonts w:ascii="宋体" w:hAnsi="宋体" w:cs="Tahoma"/>
                <w:b/>
                <w:bCs w:val="0"/>
                <w:color w:val="auto"/>
                <w:kern w:val="0"/>
                <w:szCs w:val="21"/>
                <w:highlight w:val="none"/>
              </w:rPr>
            </w:pPr>
            <w:r>
              <w:rPr>
                <w:rFonts w:hint="eastAsia" w:ascii="宋体" w:hAnsi="宋体" w:cs="Tahoma"/>
                <w:b/>
                <w:bCs w:val="0"/>
                <w:color w:val="auto"/>
                <w:kern w:val="0"/>
                <w:szCs w:val="21"/>
                <w:highlight w:val="none"/>
              </w:rPr>
              <w:t>评审因素</w:t>
            </w:r>
          </w:p>
        </w:tc>
      </w:tr>
      <w:tr w14:paraId="0A511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533" w:type="dxa"/>
            <w:vAlign w:val="center"/>
          </w:tcPr>
          <w:p w14:paraId="509A55D9">
            <w:pPr>
              <w:adjustRightInd w:val="0"/>
              <w:spacing w:line="400" w:lineRule="exact"/>
              <w:ind w:left="-105" w:leftChars="-50" w:right="-105" w:rightChars="-50"/>
              <w:jc w:val="center"/>
              <w:textAlignment w:val="baseline"/>
              <w:rPr>
                <w:rFonts w:ascii="宋体" w:hAnsi="宋体"/>
                <w:b/>
                <w:bCs w:val="0"/>
                <w:color w:val="auto"/>
                <w:kern w:val="0"/>
                <w:szCs w:val="21"/>
                <w:highlight w:val="none"/>
              </w:rPr>
            </w:pPr>
            <w:r>
              <w:rPr>
                <w:rFonts w:hint="eastAsia" w:ascii="宋体" w:hAnsi="宋体"/>
                <w:b/>
                <w:bCs w:val="0"/>
                <w:color w:val="auto"/>
                <w:kern w:val="0"/>
                <w:szCs w:val="21"/>
                <w:highlight w:val="none"/>
              </w:rPr>
              <w:t>2</w:t>
            </w:r>
            <w:r>
              <w:rPr>
                <w:rFonts w:ascii="宋体" w:hAnsi="宋体"/>
                <w:b/>
                <w:bCs w:val="0"/>
                <w:color w:val="auto"/>
                <w:kern w:val="0"/>
                <w:szCs w:val="21"/>
                <w:highlight w:val="none"/>
              </w:rPr>
              <w:t>.1</w:t>
            </w:r>
          </w:p>
        </w:tc>
        <w:tc>
          <w:tcPr>
            <w:tcW w:w="1130" w:type="dxa"/>
            <w:vAlign w:val="center"/>
          </w:tcPr>
          <w:p w14:paraId="09C89403">
            <w:pPr>
              <w:adjustRightInd w:val="0"/>
              <w:spacing w:line="400" w:lineRule="exact"/>
              <w:ind w:left="-105" w:leftChars="-50" w:right="-105" w:rightChars="-50"/>
              <w:jc w:val="center"/>
              <w:textAlignment w:val="baseline"/>
              <w:rPr>
                <w:rFonts w:hint="eastAsia" w:ascii="宋体" w:hAnsi="宋体" w:eastAsia="宋体"/>
                <w:b/>
                <w:bCs w:val="0"/>
                <w:color w:val="auto"/>
                <w:kern w:val="0"/>
                <w:szCs w:val="21"/>
                <w:highlight w:val="none"/>
                <w:lang w:eastAsia="zh-CN"/>
              </w:rPr>
            </w:pPr>
            <w:r>
              <w:rPr>
                <w:rFonts w:hint="eastAsia" w:ascii="宋体" w:hAnsi="宋体"/>
                <w:b/>
                <w:bCs w:val="0"/>
                <w:color w:val="auto"/>
                <w:kern w:val="0"/>
                <w:szCs w:val="21"/>
                <w:highlight w:val="none"/>
                <w:lang w:eastAsia="zh-CN"/>
              </w:rPr>
              <w:t>实施</w:t>
            </w:r>
            <w:r>
              <w:rPr>
                <w:rFonts w:hint="eastAsia" w:ascii="宋体" w:hAnsi="宋体"/>
                <w:b/>
                <w:bCs w:val="0"/>
                <w:color w:val="auto"/>
                <w:kern w:val="0"/>
                <w:szCs w:val="21"/>
                <w:highlight w:val="none"/>
              </w:rPr>
              <w:t>方案</w:t>
            </w:r>
            <w:r>
              <w:rPr>
                <w:rFonts w:hint="eastAsia" w:ascii="宋体" w:hAnsi="宋体"/>
                <w:b/>
                <w:bCs w:val="0"/>
                <w:color w:val="auto"/>
                <w:kern w:val="0"/>
                <w:szCs w:val="21"/>
                <w:highlight w:val="none"/>
                <w:lang w:eastAsia="zh-CN"/>
              </w:rPr>
              <w:t>分</w:t>
            </w:r>
          </w:p>
        </w:tc>
        <w:tc>
          <w:tcPr>
            <w:tcW w:w="6750" w:type="dxa"/>
            <w:vAlign w:val="center"/>
          </w:tcPr>
          <w:p w14:paraId="24DE14B8">
            <w:pPr>
              <w:widowControl/>
              <w:spacing w:line="360" w:lineRule="auto"/>
              <w:ind w:firstLine="422" w:firstLineChars="200"/>
              <w:jc w:val="left"/>
              <w:rPr>
                <w:rFonts w:hint="eastAsia" w:ascii="宋体" w:hAnsi="宋体" w:cs="宋体"/>
                <w:b/>
                <w:bCs/>
                <w:color w:val="auto"/>
                <w:sz w:val="21"/>
                <w:szCs w:val="21"/>
                <w:highlight w:val="none"/>
                <w:lang w:val="en-US" w:eastAsia="zh-CN"/>
              </w:rPr>
            </w:pPr>
            <w:r>
              <w:rPr>
                <w:rFonts w:hint="eastAsia" w:ascii="宋体" w:hAnsi="宋体" w:cs="宋体"/>
                <w:b/>
                <w:bCs/>
                <w:color w:val="auto"/>
                <w:sz w:val="21"/>
                <w:szCs w:val="21"/>
                <w:highlight w:val="none"/>
                <w:lang w:val="en-US" w:eastAsia="zh-CN"/>
              </w:rPr>
              <w:t>供应商可根据自身情况编写项目实施方案，内容可以包括但不限于：①审计（或协审）工作方案；②服务承诺；③企业规章管理制度（至少包含公司管理规章制度、人员管理制度、审计（或协审）资料档案管理制度保密管理制度和措施等内容），磋商小组根据供应商实施方案进行独立评审评定其档次。</w:t>
            </w:r>
          </w:p>
          <w:p w14:paraId="6960D2A0">
            <w:pPr>
              <w:widowControl/>
              <w:spacing w:line="360" w:lineRule="auto"/>
              <w:ind w:firstLine="422" w:firstLineChars="200"/>
              <w:jc w:val="left"/>
              <w:rPr>
                <w:rFonts w:hint="eastAsia"/>
                <w:color w:val="auto"/>
                <w:highlight w:val="none"/>
              </w:rPr>
            </w:pPr>
            <w:r>
              <w:rPr>
                <w:rFonts w:hint="eastAsia"/>
                <w:b/>
                <w:bCs/>
                <w:color w:val="auto"/>
                <w:highlight w:val="none"/>
                <w:lang w:eastAsia="zh-CN"/>
              </w:rPr>
              <w:t>一</w:t>
            </w:r>
            <w:r>
              <w:rPr>
                <w:rFonts w:hint="eastAsia"/>
                <w:b/>
                <w:bCs/>
                <w:color w:val="auto"/>
                <w:highlight w:val="none"/>
              </w:rPr>
              <w:t>档（</w:t>
            </w:r>
            <w:r>
              <w:rPr>
                <w:rFonts w:hint="eastAsia"/>
                <w:b/>
                <w:bCs/>
                <w:color w:val="auto"/>
                <w:highlight w:val="none"/>
                <w:lang w:val="en-US" w:eastAsia="zh-CN"/>
              </w:rPr>
              <w:t>2</w:t>
            </w:r>
            <w:r>
              <w:rPr>
                <w:rFonts w:hint="eastAsia"/>
                <w:b/>
                <w:bCs/>
                <w:color w:val="auto"/>
                <w:highlight w:val="none"/>
              </w:rPr>
              <w:t>分）：</w:t>
            </w:r>
            <w:r>
              <w:rPr>
                <w:rFonts w:hint="eastAsia"/>
                <w:color w:val="auto"/>
                <w:highlight w:val="none"/>
                <w:lang w:val="en-US" w:eastAsia="zh-CN"/>
              </w:rPr>
              <w:t>工作</w:t>
            </w:r>
            <w:r>
              <w:rPr>
                <w:rFonts w:hint="eastAsia"/>
                <w:color w:val="auto"/>
                <w:highlight w:val="none"/>
              </w:rPr>
              <w:t>方案内容明确、有项目工作流程、有项目质量保证体系；描述项目成果，对项目任务作出了响应。</w:t>
            </w:r>
          </w:p>
          <w:p w14:paraId="5DAFD4C5">
            <w:pPr>
              <w:widowControl/>
              <w:spacing w:line="360" w:lineRule="auto"/>
              <w:ind w:firstLine="422" w:firstLineChars="200"/>
              <w:jc w:val="left"/>
              <w:rPr>
                <w:rFonts w:hint="eastAsia"/>
                <w:color w:val="auto"/>
                <w:highlight w:val="none"/>
              </w:rPr>
            </w:pPr>
            <w:r>
              <w:rPr>
                <w:rFonts w:hint="eastAsia"/>
                <w:b/>
                <w:bCs/>
                <w:color w:val="auto"/>
                <w:highlight w:val="none"/>
                <w:lang w:eastAsia="zh-CN"/>
              </w:rPr>
              <w:t>二</w:t>
            </w:r>
            <w:r>
              <w:rPr>
                <w:rFonts w:hint="eastAsia"/>
                <w:b/>
                <w:bCs/>
                <w:color w:val="auto"/>
                <w:highlight w:val="none"/>
              </w:rPr>
              <w:t>档（</w:t>
            </w:r>
            <w:r>
              <w:rPr>
                <w:rFonts w:hint="eastAsia"/>
                <w:b/>
                <w:bCs/>
                <w:color w:val="auto"/>
                <w:highlight w:val="none"/>
                <w:lang w:val="en-US" w:eastAsia="zh-CN"/>
              </w:rPr>
              <w:t>6</w:t>
            </w:r>
            <w:r>
              <w:rPr>
                <w:rFonts w:hint="eastAsia"/>
                <w:b/>
                <w:bCs/>
                <w:color w:val="auto"/>
                <w:highlight w:val="none"/>
              </w:rPr>
              <w:t>分）：</w:t>
            </w:r>
            <w:r>
              <w:rPr>
                <w:rFonts w:hint="eastAsia"/>
                <w:color w:val="auto"/>
                <w:highlight w:val="none"/>
                <w:lang w:val="en-US" w:eastAsia="zh-CN"/>
              </w:rPr>
              <w:t>工作</w:t>
            </w:r>
            <w:r>
              <w:rPr>
                <w:rFonts w:hint="eastAsia"/>
                <w:color w:val="auto"/>
                <w:highlight w:val="none"/>
              </w:rPr>
              <w:t>方案较清晰完整。服务内容较明确，项目实施方案表达清晰完整，项目质量保证体系完整；与项目任务的匹配度高。</w:t>
            </w:r>
          </w:p>
          <w:p w14:paraId="5EB73828">
            <w:pPr>
              <w:widowControl/>
              <w:spacing w:line="360" w:lineRule="auto"/>
              <w:ind w:firstLine="422" w:firstLineChars="200"/>
              <w:jc w:val="left"/>
              <w:rPr>
                <w:rFonts w:hint="eastAsia"/>
                <w:color w:val="auto"/>
                <w:highlight w:val="none"/>
              </w:rPr>
            </w:pPr>
            <w:r>
              <w:rPr>
                <w:rFonts w:hint="eastAsia"/>
                <w:b/>
                <w:bCs/>
                <w:color w:val="auto"/>
                <w:highlight w:val="none"/>
                <w:lang w:eastAsia="zh-CN"/>
              </w:rPr>
              <w:t>三</w:t>
            </w:r>
            <w:r>
              <w:rPr>
                <w:rFonts w:hint="eastAsia"/>
                <w:b/>
                <w:bCs/>
                <w:color w:val="auto"/>
                <w:highlight w:val="none"/>
              </w:rPr>
              <w:t>档（</w:t>
            </w:r>
            <w:r>
              <w:rPr>
                <w:rFonts w:hint="eastAsia"/>
                <w:b/>
                <w:bCs/>
                <w:color w:val="auto"/>
                <w:highlight w:val="none"/>
                <w:lang w:val="en-US" w:eastAsia="zh-CN"/>
              </w:rPr>
              <w:t>10</w:t>
            </w:r>
            <w:r>
              <w:rPr>
                <w:rFonts w:hint="eastAsia"/>
                <w:b/>
                <w:bCs/>
                <w:color w:val="auto"/>
                <w:highlight w:val="none"/>
              </w:rPr>
              <w:t>分）：</w:t>
            </w:r>
            <w:r>
              <w:rPr>
                <w:rFonts w:hint="eastAsia"/>
                <w:color w:val="auto"/>
                <w:highlight w:val="none"/>
              </w:rPr>
              <w:t>对项目理解透彻，</w:t>
            </w:r>
            <w:r>
              <w:rPr>
                <w:rFonts w:hint="eastAsia"/>
                <w:color w:val="auto"/>
                <w:highlight w:val="none"/>
                <w:lang w:val="en-US" w:eastAsia="zh-CN"/>
              </w:rPr>
              <w:t>工作</w:t>
            </w:r>
            <w:r>
              <w:rPr>
                <w:rFonts w:hint="eastAsia"/>
                <w:color w:val="auto"/>
                <w:highlight w:val="none"/>
              </w:rPr>
              <w:t>方案表达清晰、完整、严谨、合理、具体、有效；服务内容明确，项目质量保证体系完整；与项目任务的匹配度高，具有较高针对性，提供利于项目实施的保障措施的。</w:t>
            </w:r>
          </w:p>
          <w:p w14:paraId="18886822">
            <w:pPr>
              <w:widowControl/>
              <w:spacing w:line="360" w:lineRule="auto"/>
              <w:ind w:firstLine="422" w:firstLineChars="200"/>
              <w:jc w:val="left"/>
              <w:rPr>
                <w:color w:val="auto"/>
                <w:highlight w:val="none"/>
              </w:rPr>
            </w:pPr>
            <w:r>
              <w:rPr>
                <w:rFonts w:hint="eastAsia"/>
                <w:b/>
                <w:bCs/>
                <w:color w:val="auto"/>
                <w:highlight w:val="none"/>
              </w:rPr>
              <w:t>注：未提供该项内容或不满足一档的，得0分。</w:t>
            </w:r>
          </w:p>
        </w:tc>
        <w:tc>
          <w:tcPr>
            <w:tcW w:w="677" w:type="dxa"/>
            <w:vAlign w:val="center"/>
          </w:tcPr>
          <w:p w14:paraId="30F2DB58">
            <w:pPr>
              <w:spacing w:line="400" w:lineRule="exact"/>
              <w:jc w:val="center"/>
              <w:rPr>
                <w:rFonts w:ascii="宋体" w:hAnsi="宋体" w:cs="Tahoma"/>
                <w:color w:val="auto"/>
                <w:kern w:val="0"/>
                <w:szCs w:val="21"/>
                <w:highlight w:val="none"/>
              </w:rPr>
            </w:pPr>
            <w:r>
              <w:rPr>
                <w:rFonts w:hint="eastAsia" w:ascii="宋体" w:hAnsi="宋体" w:cs="Tahoma"/>
                <w:b/>
                <w:bCs/>
                <w:color w:val="auto"/>
                <w:kern w:val="0"/>
                <w:szCs w:val="21"/>
                <w:highlight w:val="none"/>
                <w:lang w:val="en-US" w:eastAsia="zh-CN"/>
              </w:rPr>
              <w:t>10</w:t>
            </w:r>
            <w:r>
              <w:rPr>
                <w:rFonts w:hint="eastAsia" w:ascii="宋体" w:hAnsi="宋体" w:cs="Tahoma"/>
                <w:b/>
                <w:bCs/>
                <w:color w:val="auto"/>
                <w:kern w:val="0"/>
                <w:szCs w:val="21"/>
                <w:highlight w:val="none"/>
              </w:rPr>
              <w:t>分</w:t>
            </w:r>
          </w:p>
        </w:tc>
      </w:tr>
      <w:tr w14:paraId="7A9F1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3" w:type="dxa"/>
            <w:vAlign w:val="center"/>
          </w:tcPr>
          <w:p w14:paraId="5494B235">
            <w:pPr>
              <w:adjustRightInd w:val="0"/>
              <w:spacing w:line="400" w:lineRule="exact"/>
              <w:ind w:left="-105" w:leftChars="-50" w:right="-105" w:rightChars="-50"/>
              <w:jc w:val="center"/>
              <w:textAlignment w:val="baseline"/>
              <w:rPr>
                <w:rFonts w:ascii="宋体" w:hAnsi="宋体"/>
                <w:b/>
                <w:bCs w:val="0"/>
                <w:color w:val="auto"/>
                <w:kern w:val="0"/>
                <w:szCs w:val="21"/>
                <w:highlight w:val="none"/>
              </w:rPr>
            </w:pPr>
            <w:r>
              <w:rPr>
                <w:rFonts w:hint="eastAsia" w:ascii="宋体" w:hAnsi="宋体"/>
                <w:b/>
                <w:bCs w:val="0"/>
                <w:color w:val="auto"/>
                <w:kern w:val="0"/>
                <w:szCs w:val="21"/>
                <w:highlight w:val="none"/>
              </w:rPr>
              <w:t>2.2</w:t>
            </w:r>
          </w:p>
        </w:tc>
        <w:tc>
          <w:tcPr>
            <w:tcW w:w="1130" w:type="dxa"/>
            <w:vAlign w:val="center"/>
          </w:tcPr>
          <w:p w14:paraId="3B00FC0E">
            <w:pPr>
              <w:adjustRightInd w:val="0"/>
              <w:spacing w:line="400" w:lineRule="exact"/>
              <w:jc w:val="center"/>
              <w:textAlignment w:val="baseline"/>
              <w:rPr>
                <w:rFonts w:hint="eastAsia" w:ascii="宋体" w:hAnsi="宋体" w:eastAsia="宋体"/>
                <w:b/>
                <w:bCs w:val="0"/>
                <w:color w:val="auto"/>
                <w:kern w:val="0"/>
                <w:szCs w:val="21"/>
                <w:highlight w:val="none"/>
                <w:lang w:eastAsia="zh-CN"/>
              </w:rPr>
            </w:pPr>
            <w:r>
              <w:rPr>
                <w:rFonts w:hint="eastAsia" w:ascii="宋体" w:hAnsi="宋体" w:cs="宋体"/>
                <w:b/>
                <w:bCs w:val="0"/>
                <w:color w:val="auto"/>
                <w:szCs w:val="21"/>
                <w:highlight w:val="none"/>
              </w:rPr>
              <w:t>拟投入实施人员分</w:t>
            </w:r>
          </w:p>
        </w:tc>
        <w:tc>
          <w:tcPr>
            <w:tcW w:w="6750" w:type="dxa"/>
            <w:vAlign w:val="center"/>
          </w:tcPr>
          <w:p w14:paraId="11974722">
            <w:pPr>
              <w:pStyle w:val="18"/>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color w:val="auto"/>
                <w:sz w:val="21"/>
                <w:highlight w:val="none"/>
                <w:lang w:eastAsia="zh-CN"/>
              </w:rPr>
            </w:pPr>
            <w:r>
              <w:rPr>
                <w:rFonts w:hint="eastAsia"/>
                <w:color w:val="auto"/>
                <w:sz w:val="21"/>
                <w:highlight w:val="none"/>
                <w:lang w:val="en-US" w:eastAsia="zh-CN"/>
              </w:rPr>
              <w:t>（1）第一类：</w:t>
            </w:r>
            <w:r>
              <w:rPr>
                <w:rFonts w:hint="eastAsia"/>
                <w:color w:val="auto"/>
                <w:sz w:val="21"/>
                <w:highlight w:val="none"/>
                <w:lang w:eastAsia="zh-CN"/>
              </w:rPr>
              <w:t>拟派出的</w:t>
            </w:r>
            <w:r>
              <w:rPr>
                <w:rFonts w:hint="eastAsia"/>
                <w:color w:val="auto"/>
                <w:sz w:val="21"/>
                <w:highlight w:val="none"/>
                <w:lang w:val="en-US" w:eastAsia="zh-CN"/>
              </w:rPr>
              <w:t>2名“注册会计师或审计、会计等高级职称人员”：</w:t>
            </w:r>
            <w:r>
              <w:rPr>
                <w:rFonts w:hint="eastAsia"/>
                <w:color w:val="auto"/>
                <w:sz w:val="21"/>
                <w:highlight w:val="none"/>
                <w:lang w:eastAsia="zh-CN"/>
              </w:rPr>
              <w:t>在满足人员需求的基本前提下，</w:t>
            </w:r>
            <w:r>
              <w:rPr>
                <w:rFonts w:hint="eastAsia"/>
                <w:b/>
                <w:bCs/>
                <w:color w:val="auto"/>
                <w:sz w:val="21"/>
                <w:highlight w:val="none"/>
                <w:u w:val="single"/>
                <w:lang w:eastAsia="zh-CN"/>
              </w:rPr>
              <w:t>取得高级职称或</w:t>
            </w:r>
            <w:r>
              <w:rPr>
                <w:rFonts w:hint="eastAsia"/>
                <w:b/>
                <w:bCs/>
                <w:color w:val="auto"/>
                <w:sz w:val="21"/>
                <w:highlight w:val="none"/>
                <w:u w:val="single"/>
              </w:rPr>
              <w:t>注册会计师</w:t>
            </w:r>
            <w:r>
              <w:rPr>
                <w:rFonts w:hint="eastAsia"/>
                <w:b/>
                <w:bCs/>
                <w:color w:val="auto"/>
                <w:sz w:val="21"/>
                <w:highlight w:val="none"/>
                <w:u w:val="single"/>
                <w:lang w:eastAsia="zh-CN"/>
              </w:rPr>
              <w:t>证后</w:t>
            </w:r>
            <w:r>
              <w:rPr>
                <w:rFonts w:hint="eastAsia"/>
                <w:b/>
                <w:bCs/>
                <w:color w:val="auto"/>
                <w:sz w:val="21"/>
                <w:highlight w:val="none"/>
                <w:u w:val="single"/>
                <w:lang w:val="en-US" w:eastAsia="zh-CN"/>
              </w:rPr>
              <w:t>3</w:t>
            </w:r>
            <w:r>
              <w:rPr>
                <w:rFonts w:hint="eastAsia"/>
                <w:b/>
                <w:bCs/>
                <w:color w:val="auto"/>
                <w:sz w:val="21"/>
                <w:highlight w:val="none"/>
                <w:u w:val="single"/>
                <w:lang w:eastAsia="zh-CN"/>
              </w:rPr>
              <w:t>年以上（含）</w:t>
            </w:r>
            <w:r>
              <w:rPr>
                <w:rFonts w:hint="eastAsia"/>
                <w:b/>
                <w:bCs/>
                <w:color w:val="auto"/>
                <w:sz w:val="21"/>
                <w:highlight w:val="none"/>
                <w:u w:val="single"/>
              </w:rPr>
              <w:t>执业经验的，</w:t>
            </w:r>
            <w:r>
              <w:rPr>
                <w:rFonts w:hint="eastAsia"/>
                <w:b/>
                <w:bCs/>
                <w:color w:val="auto"/>
                <w:sz w:val="21"/>
                <w:highlight w:val="none"/>
                <w:u w:val="single"/>
                <w:lang w:eastAsia="zh-CN"/>
              </w:rPr>
              <w:t>每名得</w:t>
            </w:r>
            <w:r>
              <w:rPr>
                <w:rFonts w:hint="eastAsia"/>
                <w:b/>
                <w:bCs/>
                <w:color w:val="auto"/>
                <w:sz w:val="21"/>
                <w:highlight w:val="none"/>
                <w:u w:val="single"/>
                <w:lang w:val="en-US" w:eastAsia="zh-CN"/>
              </w:rPr>
              <w:t>5</w:t>
            </w:r>
            <w:r>
              <w:rPr>
                <w:rFonts w:hint="eastAsia"/>
                <w:b/>
                <w:bCs/>
                <w:color w:val="auto"/>
                <w:sz w:val="21"/>
                <w:highlight w:val="none"/>
                <w:u w:val="single"/>
              </w:rPr>
              <w:t>分</w:t>
            </w:r>
            <w:r>
              <w:rPr>
                <w:rFonts w:hint="eastAsia"/>
                <w:b/>
                <w:bCs/>
                <w:color w:val="auto"/>
                <w:sz w:val="21"/>
                <w:highlight w:val="none"/>
                <w:u w:val="single"/>
                <w:lang w:eastAsia="zh-CN"/>
              </w:rPr>
              <w:t>；取得高级职称或</w:t>
            </w:r>
            <w:r>
              <w:rPr>
                <w:rFonts w:hint="eastAsia"/>
                <w:b/>
                <w:bCs/>
                <w:color w:val="auto"/>
                <w:sz w:val="21"/>
                <w:highlight w:val="none"/>
                <w:u w:val="single"/>
              </w:rPr>
              <w:t>注册会计师</w:t>
            </w:r>
            <w:r>
              <w:rPr>
                <w:rFonts w:hint="eastAsia"/>
                <w:b/>
                <w:bCs/>
                <w:color w:val="auto"/>
                <w:sz w:val="21"/>
                <w:highlight w:val="none"/>
                <w:u w:val="single"/>
                <w:lang w:eastAsia="zh-CN"/>
              </w:rPr>
              <w:t>证后</w:t>
            </w:r>
            <w:r>
              <w:rPr>
                <w:rFonts w:hint="eastAsia"/>
                <w:b/>
                <w:bCs/>
                <w:color w:val="auto"/>
                <w:sz w:val="21"/>
                <w:highlight w:val="none"/>
                <w:u w:val="single"/>
                <w:lang w:val="en-US" w:eastAsia="zh-CN"/>
              </w:rPr>
              <w:t>1</w:t>
            </w:r>
            <w:r>
              <w:rPr>
                <w:rFonts w:hint="eastAsia"/>
                <w:b/>
                <w:bCs/>
                <w:color w:val="auto"/>
                <w:sz w:val="21"/>
                <w:highlight w:val="none"/>
                <w:u w:val="single"/>
                <w:lang w:eastAsia="zh-CN"/>
              </w:rPr>
              <w:t>年</w:t>
            </w:r>
            <w:r>
              <w:rPr>
                <w:rFonts w:hint="eastAsia"/>
                <w:b/>
                <w:bCs/>
                <w:color w:val="auto"/>
                <w:sz w:val="21"/>
                <w:highlight w:val="none"/>
                <w:u w:val="single"/>
                <w:lang w:val="en-US" w:eastAsia="zh-CN"/>
              </w:rPr>
              <w:t>以上（含）</w:t>
            </w:r>
            <w:r>
              <w:rPr>
                <w:rFonts w:hint="eastAsia"/>
                <w:b/>
                <w:bCs/>
                <w:color w:val="auto"/>
                <w:sz w:val="21"/>
                <w:highlight w:val="none"/>
                <w:u w:val="single"/>
              </w:rPr>
              <w:t>执业经验的，</w:t>
            </w:r>
            <w:r>
              <w:rPr>
                <w:rFonts w:hint="eastAsia"/>
                <w:b/>
                <w:bCs/>
                <w:color w:val="auto"/>
                <w:sz w:val="21"/>
                <w:highlight w:val="none"/>
                <w:u w:val="single"/>
                <w:lang w:eastAsia="zh-CN"/>
              </w:rPr>
              <w:t>每名得</w:t>
            </w:r>
            <w:r>
              <w:rPr>
                <w:rFonts w:hint="eastAsia"/>
                <w:b/>
                <w:bCs/>
                <w:color w:val="auto"/>
                <w:sz w:val="21"/>
                <w:highlight w:val="none"/>
                <w:u w:val="single"/>
                <w:lang w:val="en-US" w:eastAsia="zh-CN"/>
              </w:rPr>
              <w:t>2</w:t>
            </w:r>
            <w:r>
              <w:rPr>
                <w:rFonts w:hint="eastAsia"/>
                <w:b/>
                <w:bCs/>
                <w:color w:val="auto"/>
                <w:sz w:val="21"/>
                <w:highlight w:val="none"/>
                <w:u w:val="single"/>
              </w:rPr>
              <w:t>分</w:t>
            </w:r>
            <w:r>
              <w:rPr>
                <w:rFonts w:hint="eastAsia"/>
                <w:b/>
                <w:bCs/>
                <w:color w:val="auto"/>
                <w:sz w:val="21"/>
                <w:highlight w:val="none"/>
                <w:u w:val="single"/>
                <w:lang w:eastAsia="zh-CN"/>
              </w:rPr>
              <w:t>；</w:t>
            </w:r>
            <w:r>
              <w:rPr>
                <w:rFonts w:hint="eastAsia"/>
                <w:b/>
                <w:bCs/>
                <w:color w:val="auto"/>
                <w:sz w:val="21"/>
                <w:highlight w:val="none"/>
                <w:u w:val="single"/>
              </w:rPr>
              <w:t>此项</w:t>
            </w:r>
            <w:r>
              <w:rPr>
                <w:rFonts w:hint="eastAsia"/>
                <w:b/>
                <w:bCs/>
                <w:color w:val="auto"/>
                <w:sz w:val="21"/>
                <w:highlight w:val="none"/>
                <w:u w:val="single"/>
                <w:lang w:eastAsia="zh-CN"/>
              </w:rPr>
              <w:t>满分</w:t>
            </w:r>
            <w:r>
              <w:rPr>
                <w:rFonts w:hint="eastAsia"/>
                <w:b/>
                <w:bCs/>
                <w:color w:val="auto"/>
                <w:sz w:val="21"/>
                <w:highlight w:val="none"/>
                <w:u w:val="single"/>
                <w:lang w:val="en-US" w:eastAsia="zh-CN"/>
              </w:rPr>
              <w:t>10</w:t>
            </w:r>
            <w:r>
              <w:rPr>
                <w:rFonts w:hint="eastAsia"/>
                <w:b/>
                <w:bCs/>
                <w:color w:val="auto"/>
                <w:sz w:val="21"/>
                <w:highlight w:val="none"/>
                <w:u w:val="single"/>
              </w:rPr>
              <w:t>分</w:t>
            </w:r>
            <w:r>
              <w:rPr>
                <w:rFonts w:hint="eastAsia"/>
                <w:b/>
                <w:bCs/>
                <w:color w:val="auto"/>
                <w:sz w:val="21"/>
                <w:highlight w:val="none"/>
                <w:u w:val="single"/>
                <w:lang w:eastAsia="zh-CN"/>
              </w:rPr>
              <w:t>。</w:t>
            </w:r>
          </w:p>
          <w:p w14:paraId="6AAF4A0B">
            <w:pPr>
              <w:pStyle w:val="18"/>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color w:val="auto"/>
                <w:sz w:val="21"/>
                <w:highlight w:val="none"/>
                <w:lang w:eastAsia="zh-CN"/>
              </w:rPr>
            </w:pPr>
            <w:r>
              <w:rPr>
                <w:rFonts w:hint="eastAsia"/>
                <w:color w:val="auto"/>
                <w:sz w:val="21"/>
                <w:highlight w:val="none"/>
                <w:lang w:val="en-US" w:eastAsia="zh-CN"/>
              </w:rPr>
              <w:t>（2）第二类：拟派出的6名“具有</w:t>
            </w:r>
            <w:r>
              <w:rPr>
                <w:rFonts w:hint="default"/>
                <w:color w:val="auto"/>
                <w:sz w:val="21"/>
                <w:highlight w:val="none"/>
                <w:lang w:val="en-US" w:eastAsia="zh-CN"/>
              </w:rPr>
              <w:t>审计</w:t>
            </w:r>
            <w:r>
              <w:rPr>
                <w:rFonts w:hint="eastAsia"/>
                <w:color w:val="auto"/>
                <w:sz w:val="21"/>
                <w:highlight w:val="none"/>
                <w:lang w:val="en-US" w:eastAsia="zh-CN"/>
              </w:rPr>
              <w:t>或</w:t>
            </w:r>
            <w:r>
              <w:rPr>
                <w:rFonts w:hint="default"/>
                <w:color w:val="auto"/>
                <w:sz w:val="21"/>
                <w:highlight w:val="none"/>
                <w:lang w:val="en-US" w:eastAsia="zh-CN"/>
              </w:rPr>
              <w:t>会计中级职称</w:t>
            </w:r>
            <w:r>
              <w:rPr>
                <w:rFonts w:hint="eastAsia"/>
                <w:color w:val="auto"/>
                <w:sz w:val="21"/>
                <w:highlight w:val="none"/>
                <w:lang w:val="en-US" w:eastAsia="zh-CN"/>
              </w:rPr>
              <w:t>以上人员”：在满足人员需求的基本前提下，其中：</w:t>
            </w:r>
            <w:r>
              <w:rPr>
                <w:rFonts w:hint="eastAsia"/>
                <w:b/>
                <w:bCs/>
                <w:color w:val="auto"/>
                <w:sz w:val="21"/>
                <w:highlight w:val="none"/>
                <w:u w:val="single"/>
                <w:lang w:val="en-US" w:eastAsia="zh-CN"/>
              </w:rPr>
              <w:t>（1）</w:t>
            </w:r>
            <w:r>
              <w:rPr>
                <w:rFonts w:hint="eastAsia"/>
                <w:b/>
                <w:bCs/>
                <w:color w:val="auto"/>
                <w:sz w:val="21"/>
                <w:highlight w:val="none"/>
                <w:u w:val="single"/>
                <w:lang w:eastAsia="zh-CN"/>
              </w:rPr>
              <w:t>取得</w:t>
            </w:r>
            <w:r>
              <w:rPr>
                <w:rFonts w:hint="default"/>
                <w:b/>
                <w:bCs/>
                <w:color w:val="auto"/>
                <w:sz w:val="21"/>
                <w:highlight w:val="none"/>
                <w:u w:val="single"/>
                <w:lang w:val="en-US" w:eastAsia="zh-CN"/>
              </w:rPr>
              <w:t>审计</w:t>
            </w:r>
            <w:r>
              <w:rPr>
                <w:rFonts w:hint="eastAsia"/>
                <w:b/>
                <w:bCs/>
                <w:color w:val="auto"/>
                <w:sz w:val="21"/>
                <w:highlight w:val="none"/>
                <w:u w:val="single"/>
                <w:lang w:val="en-US" w:eastAsia="zh-CN"/>
              </w:rPr>
              <w:t>或</w:t>
            </w:r>
            <w:r>
              <w:rPr>
                <w:rFonts w:hint="default"/>
                <w:b/>
                <w:bCs/>
                <w:color w:val="auto"/>
                <w:sz w:val="21"/>
                <w:highlight w:val="none"/>
                <w:u w:val="single"/>
                <w:lang w:val="en-US" w:eastAsia="zh-CN"/>
              </w:rPr>
              <w:t>会计中级职称</w:t>
            </w:r>
            <w:r>
              <w:rPr>
                <w:rFonts w:hint="eastAsia"/>
                <w:b/>
                <w:bCs/>
                <w:color w:val="auto"/>
                <w:sz w:val="21"/>
                <w:highlight w:val="none"/>
                <w:u w:val="single"/>
                <w:lang w:eastAsia="zh-CN"/>
              </w:rPr>
              <w:t>5年</w:t>
            </w:r>
            <w:r>
              <w:rPr>
                <w:rFonts w:hint="eastAsia"/>
                <w:b/>
                <w:bCs/>
                <w:color w:val="auto"/>
                <w:sz w:val="21"/>
                <w:highlight w:val="none"/>
                <w:u w:val="single"/>
              </w:rPr>
              <w:t>以上</w:t>
            </w:r>
            <w:r>
              <w:rPr>
                <w:rFonts w:hint="eastAsia"/>
                <w:b/>
                <w:bCs/>
                <w:color w:val="auto"/>
                <w:sz w:val="21"/>
                <w:highlight w:val="none"/>
                <w:u w:val="single"/>
                <w:lang w:eastAsia="zh-CN"/>
              </w:rPr>
              <w:t>（含）</w:t>
            </w:r>
            <w:r>
              <w:rPr>
                <w:rFonts w:hint="eastAsia"/>
                <w:b/>
                <w:bCs/>
                <w:color w:val="auto"/>
                <w:sz w:val="21"/>
                <w:highlight w:val="none"/>
                <w:u w:val="single"/>
              </w:rPr>
              <w:t>的，</w:t>
            </w:r>
            <w:r>
              <w:rPr>
                <w:rFonts w:hint="eastAsia"/>
                <w:b/>
                <w:bCs/>
                <w:color w:val="auto"/>
                <w:sz w:val="21"/>
                <w:highlight w:val="none"/>
                <w:u w:val="single"/>
                <w:lang w:eastAsia="zh-CN"/>
              </w:rPr>
              <w:t>每名得</w:t>
            </w:r>
            <w:r>
              <w:rPr>
                <w:rFonts w:hint="eastAsia"/>
                <w:b/>
                <w:bCs/>
                <w:color w:val="auto"/>
                <w:sz w:val="21"/>
                <w:highlight w:val="none"/>
                <w:u w:val="single"/>
                <w:lang w:val="en-US" w:eastAsia="zh-CN"/>
              </w:rPr>
              <w:t>5分；</w:t>
            </w:r>
            <w:r>
              <w:rPr>
                <w:rFonts w:hint="eastAsia"/>
                <w:b/>
                <w:bCs/>
                <w:color w:val="auto"/>
                <w:sz w:val="21"/>
                <w:highlight w:val="none"/>
                <w:u w:val="single"/>
                <w:lang w:eastAsia="zh-CN"/>
              </w:rPr>
              <w:t>取得</w:t>
            </w:r>
            <w:r>
              <w:rPr>
                <w:rFonts w:hint="default"/>
                <w:b/>
                <w:bCs/>
                <w:color w:val="auto"/>
                <w:sz w:val="21"/>
                <w:highlight w:val="none"/>
                <w:u w:val="single"/>
                <w:lang w:val="en-US" w:eastAsia="zh-CN"/>
              </w:rPr>
              <w:t>审计</w:t>
            </w:r>
            <w:r>
              <w:rPr>
                <w:rFonts w:hint="eastAsia"/>
                <w:b/>
                <w:bCs/>
                <w:color w:val="auto"/>
                <w:sz w:val="21"/>
                <w:highlight w:val="none"/>
                <w:u w:val="single"/>
                <w:lang w:val="en-US" w:eastAsia="zh-CN"/>
              </w:rPr>
              <w:t>或</w:t>
            </w:r>
            <w:r>
              <w:rPr>
                <w:rFonts w:hint="default"/>
                <w:b/>
                <w:bCs/>
                <w:color w:val="auto"/>
                <w:sz w:val="21"/>
                <w:highlight w:val="none"/>
                <w:u w:val="single"/>
                <w:lang w:val="en-US" w:eastAsia="zh-CN"/>
              </w:rPr>
              <w:t>会计中级职称</w:t>
            </w:r>
            <w:r>
              <w:rPr>
                <w:rFonts w:hint="eastAsia"/>
                <w:b/>
                <w:bCs/>
                <w:color w:val="auto"/>
                <w:sz w:val="21"/>
                <w:highlight w:val="none"/>
                <w:u w:val="single"/>
                <w:lang w:val="en-US" w:eastAsia="zh-CN"/>
              </w:rPr>
              <w:t>3</w:t>
            </w:r>
            <w:r>
              <w:rPr>
                <w:rFonts w:hint="eastAsia"/>
                <w:b/>
                <w:bCs/>
                <w:color w:val="auto"/>
                <w:sz w:val="21"/>
                <w:highlight w:val="none"/>
                <w:u w:val="single"/>
                <w:lang w:eastAsia="zh-CN"/>
              </w:rPr>
              <w:t>年以上</w:t>
            </w:r>
            <w:r>
              <w:rPr>
                <w:rFonts w:hint="eastAsia"/>
                <w:b/>
                <w:bCs/>
                <w:color w:val="auto"/>
                <w:sz w:val="21"/>
                <w:highlight w:val="none"/>
                <w:u w:val="single"/>
                <w:lang w:val="en-US" w:eastAsia="zh-CN"/>
              </w:rPr>
              <w:t>（含）</w:t>
            </w:r>
            <w:r>
              <w:rPr>
                <w:rFonts w:hint="eastAsia"/>
                <w:b/>
                <w:bCs/>
                <w:color w:val="auto"/>
                <w:sz w:val="21"/>
                <w:highlight w:val="none"/>
                <w:u w:val="single"/>
              </w:rPr>
              <w:t>的，</w:t>
            </w:r>
            <w:r>
              <w:rPr>
                <w:rFonts w:hint="eastAsia"/>
                <w:b/>
                <w:bCs/>
                <w:color w:val="auto"/>
                <w:sz w:val="21"/>
                <w:highlight w:val="none"/>
                <w:u w:val="single"/>
                <w:lang w:eastAsia="zh-CN"/>
              </w:rPr>
              <w:t>每名得</w:t>
            </w:r>
            <w:r>
              <w:rPr>
                <w:rFonts w:hint="eastAsia"/>
                <w:b/>
                <w:bCs/>
                <w:color w:val="auto"/>
                <w:sz w:val="21"/>
                <w:highlight w:val="none"/>
                <w:u w:val="single"/>
                <w:lang w:val="en-US" w:eastAsia="zh-CN"/>
              </w:rPr>
              <w:t>3分；</w:t>
            </w:r>
            <w:r>
              <w:rPr>
                <w:rFonts w:hint="eastAsia"/>
                <w:b/>
                <w:bCs/>
                <w:color w:val="auto"/>
                <w:sz w:val="21"/>
                <w:highlight w:val="none"/>
                <w:u w:val="single"/>
                <w:lang w:eastAsia="zh-CN"/>
              </w:rPr>
              <w:t>取得</w:t>
            </w:r>
            <w:r>
              <w:rPr>
                <w:rFonts w:hint="default"/>
                <w:b/>
                <w:bCs/>
                <w:color w:val="auto"/>
                <w:sz w:val="21"/>
                <w:highlight w:val="none"/>
                <w:u w:val="single"/>
                <w:lang w:val="en-US" w:eastAsia="zh-CN"/>
              </w:rPr>
              <w:t>审计</w:t>
            </w:r>
            <w:r>
              <w:rPr>
                <w:rFonts w:hint="eastAsia"/>
                <w:b/>
                <w:bCs/>
                <w:color w:val="auto"/>
                <w:sz w:val="21"/>
                <w:highlight w:val="none"/>
                <w:u w:val="single"/>
                <w:lang w:val="en-US" w:eastAsia="zh-CN"/>
              </w:rPr>
              <w:t>或</w:t>
            </w:r>
            <w:r>
              <w:rPr>
                <w:rFonts w:hint="default"/>
                <w:b/>
                <w:bCs/>
                <w:color w:val="auto"/>
                <w:sz w:val="21"/>
                <w:highlight w:val="none"/>
                <w:u w:val="single"/>
                <w:lang w:val="en-US" w:eastAsia="zh-CN"/>
              </w:rPr>
              <w:t>会计中级职称</w:t>
            </w:r>
            <w:r>
              <w:rPr>
                <w:rFonts w:hint="eastAsia"/>
                <w:b/>
                <w:bCs/>
                <w:color w:val="auto"/>
                <w:sz w:val="21"/>
                <w:highlight w:val="none"/>
                <w:u w:val="single"/>
                <w:lang w:val="en-US" w:eastAsia="zh-CN"/>
              </w:rPr>
              <w:t>1</w:t>
            </w:r>
            <w:r>
              <w:rPr>
                <w:rFonts w:hint="eastAsia"/>
                <w:b/>
                <w:bCs/>
                <w:color w:val="auto"/>
                <w:sz w:val="21"/>
                <w:highlight w:val="none"/>
                <w:u w:val="single"/>
                <w:lang w:eastAsia="zh-CN"/>
              </w:rPr>
              <w:t>年</w:t>
            </w:r>
            <w:r>
              <w:rPr>
                <w:rFonts w:hint="eastAsia"/>
                <w:b/>
                <w:bCs/>
                <w:color w:val="auto"/>
                <w:sz w:val="21"/>
                <w:highlight w:val="none"/>
                <w:u w:val="single"/>
                <w:lang w:val="en-US" w:eastAsia="zh-CN"/>
              </w:rPr>
              <w:t>以上（含）</w:t>
            </w:r>
            <w:r>
              <w:rPr>
                <w:rFonts w:hint="eastAsia"/>
                <w:b/>
                <w:bCs/>
                <w:color w:val="auto"/>
                <w:sz w:val="21"/>
                <w:highlight w:val="none"/>
                <w:u w:val="single"/>
              </w:rPr>
              <w:t>的，</w:t>
            </w:r>
            <w:r>
              <w:rPr>
                <w:rFonts w:hint="eastAsia"/>
                <w:b/>
                <w:bCs/>
                <w:color w:val="auto"/>
                <w:sz w:val="21"/>
                <w:highlight w:val="none"/>
                <w:u w:val="single"/>
                <w:lang w:eastAsia="zh-CN"/>
              </w:rPr>
              <w:t>每名得</w:t>
            </w:r>
            <w:r>
              <w:rPr>
                <w:rFonts w:hint="eastAsia"/>
                <w:b/>
                <w:bCs/>
                <w:color w:val="auto"/>
                <w:sz w:val="21"/>
                <w:highlight w:val="none"/>
                <w:u w:val="single"/>
                <w:lang w:val="en-US" w:eastAsia="zh-CN"/>
              </w:rPr>
              <w:t>1分；（2）</w:t>
            </w:r>
            <w:r>
              <w:rPr>
                <w:rFonts w:hint="eastAsia"/>
                <w:b/>
                <w:bCs/>
                <w:color w:val="auto"/>
                <w:sz w:val="21"/>
                <w:highlight w:val="none"/>
                <w:u w:val="single"/>
                <w:lang w:eastAsia="zh-CN"/>
              </w:rPr>
              <w:t>具有会计或审计高级职称（含</w:t>
            </w:r>
            <w:r>
              <w:rPr>
                <w:rFonts w:hint="eastAsia"/>
                <w:b/>
                <w:bCs/>
                <w:color w:val="auto"/>
                <w:sz w:val="21"/>
                <w:highlight w:val="none"/>
                <w:u w:val="single"/>
              </w:rPr>
              <w:t>注册会计师</w:t>
            </w:r>
            <w:r>
              <w:rPr>
                <w:rFonts w:hint="eastAsia"/>
                <w:b/>
                <w:bCs/>
                <w:color w:val="auto"/>
                <w:sz w:val="21"/>
                <w:highlight w:val="none"/>
                <w:u w:val="single"/>
                <w:lang w:eastAsia="zh-CN"/>
              </w:rPr>
              <w:t>）</w:t>
            </w:r>
            <w:r>
              <w:rPr>
                <w:rFonts w:hint="eastAsia"/>
                <w:b/>
                <w:bCs/>
                <w:color w:val="auto"/>
                <w:sz w:val="21"/>
                <w:highlight w:val="none"/>
                <w:u w:val="single"/>
              </w:rPr>
              <w:t>的，</w:t>
            </w:r>
            <w:r>
              <w:rPr>
                <w:rFonts w:hint="eastAsia"/>
                <w:b/>
                <w:bCs/>
                <w:color w:val="auto"/>
                <w:sz w:val="21"/>
                <w:highlight w:val="none"/>
                <w:u w:val="single"/>
                <w:lang w:eastAsia="zh-CN"/>
              </w:rPr>
              <w:t>每名得</w:t>
            </w:r>
            <w:r>
              <w:rPr>
                <w:rFonts w:hint="eastAsia"/>
                <w:b/>
                <w:bCs/>
                <w:color w:val="auto"/>
                <w:sz w:val="21"/>
                <w:highlight w:val="none"/>
                <w:u w:val="single"/>
                <w:lang w:val="en-US" w:eastAsia="zh-CN"/>
              </w:rPr>
              <w:t>5</w:t>
            </w:r>
            <w:r>
              <w:rPr>
                <w:rFonts w:hint="eastAsia"/>
                <w:b/>
                <w:bCs/>
                <w:color w:val="auto"/>
                <w:sz w:val="21"/>
                <w:highlight w:val="none"/>
                <w:u w:val="single"/>
              </w:rPr>
              <w:t>分</w:t>
            </w:r>
            <w:r>
              <w:rPr>
                <w:rFonts w:hint="eastAsia"/>
                <w:b/>
                <w:bCs/>
                <w:color w:val="auto"/>
                <w:sz w:val="21"/>
                <w:highlight w:val="none"/>
                <w:u w:val="single"/>
                <w:lang w:eastAsia="zh-CN"/>
              </w:rPr>
              <w:t>。</w:t>
            </w:r>
            <w:r>
              <w:rPr>
                <w:rFonts w:hint="eastAsia"/>
                <w:b/>
                <w:bCs/>
                <w:color w:val="auto"/>
                <w:sz w:val="21"/>
                <w:highlight w:val="none"/>
                <w:u w:val="single"/>
              </w:rPr>
              <w:t>此项</w:t>
            </w:r>
            <w:r>
              <w:rPr>
                <w:b/>
                <w:bCs/>
                <w:color w:val="auto"/>
                <w:sz w:val="21"/>
                <w:highlight w:val="none"/>
                <w:u w:val="single"/>
              </w:rPr>
              <w:t>满分</w:t>
            </w:r>
            <w:r>
              <w:rPr>
                <w:rFonts w:hint="eastAsia"/>
                <w:b/>
                <w:bCs/>
                <w:color w:val="auto"/>
                <w:sz w:val="21"/>
                <w:highlight w:val="none"/>
                <w:u w:val="single"/>
                <w:lang w:val="en-US" w:eastAsia="zh-CN"/>
              </w:rPr>
              <w:t>30</w:t>
            </w:r>
            <w:r>
              <w:rPr>
                <w:b/>
                <w:bCs/>
                <w:color w:val="auto"/>
                <w:sz w:val="21"/>
                <w:highlight w:val="none"/>
                <w:u w:val="single"/>
              </w:rPr>
              <w:t>分</w:t>
            </w:r>
            <w:r>
              <w:rPr>
                <w:rFonts w:hint="eastAsia"/>
                <w:b/>
                <w:bCs/>
                <w:color w:val="auto"/>
                <w:sz w:val="21"/>
                <w:highlight w:val="none"/>
                <w:u w:val="single"/>
                <w:lang w:eastAsia="zh-CN"/>
              </w:rPr>
              <w:t>。</w:t>
            </w:r>
          </w:p>
          <w:p w14:paraId="7101852E">
            <w:pPr>
              <w:pStyle w:val="18"/>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eastAsia="宋体"/>
                <w:color w:val="auto"/>
                <w:sz w:val="21"/>
                <w:highlight w:val="none"/>
                <w:lang w:val="en-US" w:eastAsia="zh-CN"/>
              </w:rPr>
            </w:pPr>
            <w:r>
              <w:rPr>
                <w:rFonts w:hint="eastAsia"/>
                <w:color w:val="auto"/>
                <w:sz w:val="21"/>
                <w:highlight w:val="none"/>
              </w:rPr>
              <w:t>注：①须提供拟投入</w:t>
            </w:r>
            <w:r>
              <w:rPr>
                <w:rFonts w:hint="eastAsia"/>
                <w:color w:val="auto"/>
                <w:sz w:val="21"/>
                <w:highlight w:val="none"/>
                <w:lang w:val="en-US" w:eastAsia="zh-CN"/>
              </w:rPr>
              <w:t>实施</w:t>
            </w:r>
            <w:r>
              <w:rPr>
                <w:rFonts w:hint="eastAsia"/>
                <w:color w:val="auto"/>
                <w:sz w:val="21"/>
                <w:highlight w:val="none"/>
              </w:rPr>
              <w:t>人员花名册</w:t>
            </w:r>
            <w:r>
              <w:rPr>
                <w:rFonts w:hint="eastAsia"/>
                <w:color w:val="auto"/>
                <w:sz w:val="21"/>
                <w:highlight w:val="none"/>
                <w:lang w:eastAsia="zh-CN"/>
              </w:rPr>
              <w:t>（</w:t>
            </w:r>
            <w:r>
              <w:rPr>
                <w:rFonts w:hint="eastAsia"/>
                <w:color w:val="auto"/>
                <w:sz w:val="21"/>
                <w:highlight w:val="none"/>
              </w:rPr>
              <w:t>包括</w:t>
            </w:r>
            <w:r>
              <w:rPr>
                <w:rFonts w:hint="eastAsia"/>
                <w:color w:val="auto"/>
                <w:sz w:val="21"/>
                <w:highlight w:val="none"/>
                <w:lang w:eastAsia="zh-CN"/>
              </w:rPr>
              <w:t>但不限：</w:t>
            </w:r>
            <w:r>
              <w:rPr>
                <w:rFonts w:hint="eastAsia"/>
                <w:color w:val="auto"/>
                <w:sz w:val="21"/>
                <w:highlight w:val="none"/>
              </w:rPr>
              <w:t>姓名、性别、出生日期、学历</w:t>
            </w:r>
            <w:r>
              <w:rPr>
                <w:rFonts w:hint="eastAsia"/>
                <w:color w:val="auto"/>
                <w:sz w:val="21"/>
                <w:highlight w:val="none"/>
                <w:lang w:eastAsia="zh-CN"/>
              </w:rPr>
              <w:t>等内容）</w:t>
            </w:r>
            <w:r>
              <w:rPr>
                <w:rFonts w:hint="eastAsia"/>
                <w:color w:val="auto"/>
                <w:sz w:val="21"/>
                <w:highlight w:val="none"/>
              </w:rPr>
              <w:t>以及</w:t>
            </w:r>
            <w:r>
              <w:rPr>
                <w:rFonts w:hint="eastAsia"/>
                <w:color w:val="auto"/>
                <w:sz w:val="21"/>
                <w:highlight w:val="none"/>
                <w:lang w:eastAsia="zh-CN"/>
              </w:rPr>
              <w:t>附上各实施人员</w:t>
            </w:r>
            <w:r>
              <w:rPr>
                <w:rFonts w:hint="eastAsia"/>
                <w:color w:val="auto"/>
                <w:sz w:val="21"/>
                <w:highlight w:val="none"/>
              </w:rPr>
              <w:t>有效的</w:t>
            </w:r>
            <w:r>
              <w:rPr>
                <w:rFonts w:hint="eastAsia"/>
                <w:color w:val="auto"/>
                <w:sz w:val="21"/>
                <w:highlight w:val="none"/>
                <w:lang w:eastAsia="zh-CN"/>
              </w:rPr>
              <w:t>相关</w:t>
            </w:r>
            <w:r>
              <w:rPr>
                <w:rFonts w:hint="eastAsia"/>
                <w:color w:val="auto"/>
                <w:sz w:val="21"/>
                <w:highlight w:val="none"/>
              </w:rPr>
              <w:t>资格证书复印件并加盖</w:t>
            </w:r>
            <w:r>
              <w:rPr>
                <w:rFonts w:hint="eastAsia"/>
                <w:color w:val="auto"/>
                <w:sz w:val="21"/>
                <w:highlight w:val="none"/>
                <w:lang w:val="en-US" w:eastAsia="zh-CN"/>
              </w:rPr>
              <w:t>竞标</w:t>
            </w:r>
            <w:r>
              <w:rPr>
                <w:rFonts w:hint="eastAsia"/>
                <w:color w:val="auto"/>
                <w:sz w:val="21"/>
                <w:highlight w:val="none"/>
              </w:rPr>
              <w:t>人公章</w:t>
            </w:r>
            <w:r>
              <w:rPr>
                <w:rFonts w:hint="eastAsia"/>
                <w:color w:val="auto"/>
                <w:sz w:val="21"/>
                <w:highlight w:val="none"/>
                <w:lang w:val="en-US" w:eastAsia="zh-CN"/>
              </w:rPr>
              <w:t>，否则不得分</w:t>
            </w:r>
            <w:r>
              <w:rPr>
                <w:rFonts w:hint="eastAsia"/>
                <w:color w:val="auto"/>
                <w:sz w:val="21"/>
                <w:highlight w:val="none"/>
              </w:rPr>
              <w:t>。</w:t>
            </w:r>
          </w:p>
          <w:p w14:paraId="61AAA50D">
            <w:pPr>
              <w:pStyle w:val="18"/>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sz w:val="21"/>
                <w:highlight w:val="none"/>
              </w:rPr>
            </w:pPr>
            <w:r>
              <w:rPr>
                <w:rFonts w:hint="eastAsia"/>
                <w:color w:val="auto"/>
                <w:sz w:val="21"/>
                <w:highlight w:val="none"/>
                <w:lang w:eastAsia="zh-CN"/>
              </w:rPr>
              <w:t>②</w:t>
            </w:r>
            <w:r>
              <w:rPr>
                <w:rFonts w:hint="eastAsia"/>
                <w:color w:val="auto"/>
                <w:sz w:val="21"/>
                <w:highlight w:val="none"/>
              </w:rPr>
              <w:t>须提供</w:t>
            </w:r>
            <w:r>
              <w:rPr>
                <w:rFonts w:hint="eastAsia"/>
                <w:color w:val="auto"/>
                <w:sz w:val="21"/>
                <w:highlight w:val="none"/>
                <w:lang w:eastAsia="zh-CN"/>
              </w:rPr>
              <w:t>供应商与</w:t>
            </w:r>
            <w:r>
              <w:rPr>
                <w:rFonts w:hint="eastAsia"/>
                <w:color w:val="auto"/>
                <w:sz w:val="21"/>
                <w:highlight w:val="none"/>
                <w:lang w:val="en-US" w:eastAsia="zh-CN"/>
              </w:rPr>
              <w:t>以上</w:t>
            </w:r>
            <w:r>
              <w:rPr>
                <w:rFonts w:hint="eastAsia"/>
                <w:color w:val="auto"/>
                <w:sz w:val="21"/>
                <w:highlight w:val="none"/>
              </w:rPr>
              <w:t>拟投入</w:t>
            </w:r>
            <w:r>
              <w:rPr>
                <w:rFonts w:hint="eastAsia"/>
                <w:color w:val="auto"/>
                <w:sz w:val="21"/>
                <w:highlight w:val="none"/>
                <w:lang w:val="en-US" w:eastAsia="zh-CN"/>
              </w:rPr>
              <w:t>实施人员签订的劳动合同或聘用合同等证明复印件</w:t>
            </w:r>
            <w:r>
              <w:rPr>
                <w:rFonts w:hint="eastAsia"/>
                <w:color w:val="auto"/>
                <w:sz w:val="21"/>
                <w:highlight w:val="none"/>
              </w:rPr>
              <w:t>并加盖</w:t>
            </w:r>
            <w:r>
              <w:rPr>
                <w:rFonts w:hint="eastAsia"/>
                <w:color w:val="auto"/>
                <w:sz w:val="21"/>
                <w:highlight w:val="none"/>
                <w:lang w:val="en-US" w:eastAsia="zh-CN"/>
              </w:rPr>
              <w:t>竞标</w:t>
            </w:r>
            <w:r>
              <w:rPr>
                <w:rFonts w:hint="eastAsia"/>
                <w:color w:val="auto"/>
                <w:sz w:val="21"/>
                <w:highlight w:val="none"/>
              </w:rPr>
              <w:t>人公章</w:t>
            </w:r>
            <w:r>
              <w:rPr>
                <w:rFonts w:hint="eastAsia"/>
                <w:color w:val="auto"/>
                <w:sz w:val="21"/>
                <w:highlight w:val="none"/>
                <w:lang w:val="en-US" w:eastAsia="zh-CN"/>
              </w:rPr>
              <w:t>，否则不得分</w:t>
            </w:r>
            <w:r>
              <w:rPr>
                <w:rFonts w:hint="eastAsia"/>
                <w:color w:val="auto"/>
                <w:sz w:val="21"/>
                <w:highlight w:val="none"/>
              </w:rPr>
              <w:t>。</w:t>
            </w:r>
          </w:p>
          <w:p w14:paraId="09DB77AC">
            <w:pPr>
              <w:pStyle w:val="18"/>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sz w:val="21"/>
                <w:highlight w:val="none"/>
                <w:lang w:eastAsia="zh-CN"/>
              </w:rPr>
            </w:pPr>
            <w:r>
              <w:rPr>
                <w:rFonts w:hint="eastAsia"/>
                <w:color w:val="auto"/>
                <w:sz w:val="21"/>
                <w:highlight w:val="none"/>
                <w:lang w:eastAsia="zh-CN"/>
              </w:rPr>
              <w:t>③</w:t>
            </w:r>
            <w:r>
              <w:rPr>
                <w:rFonts w:hint="eastAsia"/>
                <w:color w:val="auto"/>
                <w:sz w:val="21"/>
                <w:highlight w:val="none"/>
              </w:rPr>
              <w:t>执业经验</w:t>
            </w:r>
            <w:r>
              <w:rPr>
                <w:rFonts w:hint="eastAsia"/>
                <w:color w:val="auto"/>
                <w:sz w:val="21"/>
                <w:highlight w:val="none"/>
                <w:lang w:eastAsia="zh-CN"/>
              </w:rPr>
              <w:t>可以相关实施人员取得相关执业资格证书的时间或其他证明材料时间起算。</w:t>
            </w:r>
          </w:p>
          <w:p w14:paraId="0884F46D">
            <w:pPr>
              <w:pStyle w:val="18"/>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sz w:val="21"/>
                <w:highlight w:val="none"/>
              </w:rPr>
            </w:pPr>
            <w:r>
              <w:rPr>
                <w:rFonts w:hint="eastAsia"/>
                <w:color w:val="auto"/>
                <w:sz w:val="21"/>
                <w:highlight w:val="none"/>
                <w:lang w:eastAsia="zh-CN"/>
              </w:rPr>
              <w:t>④</w:t>
            </w:r>
            <w:r>
              <w:rPr>
                <w:rFonts w:hint="eastAsia"/>
                <w:color w:val="auto"/>
                <w:sz w:val="21"/>
                <w:highlight w:val="none"/>
              </w:rPr>
              <w:t>未按规定提供相关证书等证明材料的不得分。</w:t>
            </w:r>
          </w:p>
          <w:p w14:paraId="08B459F7">
            <w:pPr>
              <w:pStyle w:val="18"/>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sz w:val="21"/>
                <w:highlight w:val="none"/>
                <w:lang w:eastAsia="zh-CN"/>
              </w:rPr>
            </w:pPr>
            <w:r>
              <w:rPr>
                <w:rFonts w:hint="eastAsia"/>
                <w:color w:val="auto"/>
                <w:sz w:val="21"/>
                <w:highlight w:val="none"/>
                <w:lang w:eastAsia="zh-CN"/>
              </w:rPr>
              <w:t>⑤</w:t>
            </w:r>
            <w:r>
              <w:rPr>
                <w:rFonts w:hint="eastAsia"/>
                <w:color w:val="auto"/>
                <w:sz w:val="21"/>
                <w:highlight w:val="none"/>
              </w:rPr>
              <w:t>每名人员只</w:t>
            </w:r>
            <w:r>
              <w:rPr>
                <w:rFonts w:hint="eastAsia"/>
                <w:color w:val="auto"/>
                <w:sz w:val="21"/>
                <w:highlight w:val="none"/>
                <w:lang w:eastAsia="zh-CN"/>
              </w:rPr>
              <w:t>以</w:t>
            </w:r>
            <w:r>
              <w:rPr>
                <w:rFonts w:hint="eastAsia"/>
                <w:color w:val="auto"/>
                <w:sz w:val="21"/>
                <w:highlight w:val="none"/>
              </w:rPr>
              <w:t>最高一个职称</w:t>
            </w:r>
            <w:r>
              <w:rPr>
                <w:rFonts w:hint="eastAsia"/>
                <w:color w:val="auto"/>
                <w:sz w:val="21"/>
                <w:highlight w:val="none"/>
                <w:lang w:eastAsia="zh-CN"/>
              </w:rPr>
              <w:t>计取</w:t>
            </w:r>
            <w:r>
              <w:rPr>
                <w:rFonts w:hint="eastAsia"/>
                <w:color w:val="auto"/>
                <w:sz w:val="21"/>
                <w:highlight w:val="none"/>
              </w:rPr>
              <w:t>得分</w:t>
            </w:r>
            <w:r>
              <w:rPr>
                <w:rFonts w:hint="eastAsia"/>
                <w:color w:val="auto"/>
                <w:sz w:val="21"/>
                <w:highlight w:val="none"/>
                <w:lang w:eastAsia="zh-CN"/>
              </w:rPr>
              <w:t>。</w:t>
            </w:r>
          </w:p>
          <w:p w14:paraId="2D5B74A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eastAsia="汉仪书宋二S"/>
                <w:color w:val="auto"/>
                <w:highlight w:val="none"/>
                <w:lang w:eastAsia="zh-CN"/>
              </w:rPr>
            </w:pPr>
            <w:r>
              <w:rPr>
                <w:rFonts w:hint="eastAsia" w:ascii="汉仪书宋二S" w:hAnsi="汉仪书宋二S" w:eastAsia="汉仪书宋二S" w:cs="汉仪书宋二S"/>
                <w:color w:val="auto"/>
                <w:szCs w:val="21"/>
                <w:highlight w:val="none"/>
              </w:rPr>
              <w:t>⑥</w:t>
            </w:r>
            <w:r>
              <w:rPr>
                <w:rFonts w:hint="eastAsia" w:ascii="汉仪书宋二S" w:hAnsi="汉仪书宋二S" w:eastAsia="汉仪书宋二S" w:cs="汉仪书宋二S"/>
                <w:color w:val="auto"/>
                <w:szCs w:val="21"/>
                <w:highlight w:val="none"/>
                <w:lang w:eastAsia="zh-CN"/>
              </w:rPr>
              <w:t>采购人结算时，按照供应商磋商响应人员类别进行结算，不以投入人员的职称结算。</w:t>
            </w:r>
          </w:p>
        </w:tc>
        <w:tc>
          <w:tcPr>
            <w:tcW w:w="677" w:type="dxa"/>
            <w:vAlign w:val="center"/>
          </w:tcPr>
          <w:p w14:paraId="422644BC">
            <w:pPr>
              <w:spacing w:line="400" w:lineRule="exact"/>
              <w:jc w:val="center"/>
              <w:rPr>
                <w:rFonts w:ascii="宋体" w:hAnsi="宋体" w:cs="Tahoma"/>
                <w:color w:val="auto"/>
                <w:kern w:val="0"/>
                <w:szCs w:val="21"/>
                <w:highlight w:val="none"/>
              </w:rPr>
            </w:pPr>
            <w:r>
              <w:rPr>
                <w:rFonts w:hint="eastAsia" w:ascii="宋体" w:hAnsi="宋体" w:cs="Tahoma"/>
                <w:b/>
                <w:bCs/>
                <w:color w:val="auto"/>
                <w:kern w:val="0"/>
                <w:szCs w:val="21"/>
                <w:highlight w:val="none"/>
                <w:lang w:val="en-US" w:eastAsia="zh-CN"/>
              </w:rPr>
              <w:t>40</w:t>
            </w:r>
            <w:r>
              <w:rPr>
                <w:rFonts w:hint="eastAsia" w:ascii="宋体" w:hAnsi="宋体" w:cs="Tahoma"/>
                <w:b/>
                <w:bCs/>
                <w:color w:val="auto"/>
                <w:kern w:val="0"/>
                <w:szCs w:val="21"/>
                <w:highlight w:val="none"/>
              </w:rPr>
              <w:t>分</w:t>
            </w:r>
          </w:p>
        </w:tc>
      </w:tr>
      <w:tr w14:paraId="03999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533" w:type="dxa"/>
            <w:vAlign w:val="center"/>
          </w:tcPr>
          <w:p w14:paraId="10C2BD8B">
            <w:pPr>
              <w:adjustRightInd w:val="0"/>
              <w:spacing w:line="400" w:lineRule="exact"/>
              <w:ind w:left="-105" w:leftChars="-50" w:right="-105" w:rightChars="-50"/>
              <w:jc w:val="center"/>
              <w:textAlignment w:val="baseline"/>
              <w:rPr>
                <w:rFonts w:hint="eastAsia" w:ascii="宋体" w:hAnsi="宋体" w:eastAsia="宋体"/>
                <w:b/>
                <w:bCs w:val="0"/>
                <w:color w:val="auto"/>
                <w:kern w:val="0"/>
                <w:szCs w:val="21"/>
                <w:highlight w:val="none"/>
                <w:lang w:val="en-US" w:eastAsia="zh-CN"/>
              </w:rPr>
            </w:pPr>
            <w:r>
              <w:rPr>
                <w:rFonts w:hint="eastAsia" w:ascii="宋体" w:hAnsi="宋体"/>
                <w:b/>
                <w:bCs w:val="0"/>
                <w:color w:val="auto"/>
                <w:kern w:val="0"/>
                <w:szCs w:val="21"/>
                <w:highlight w:val="none"/>
                <w:lang w:val="en-US" w:eastAsia="zh-CN"/>
              </w:rPr>
              <w:t>3</w:t>
            </w:r>
          </w:p>
        </w:tc>
        <w:tc>
          <w:tcPr>
            <w:tcW w:w="1130" w:type="dxa"/>
            <w:vAlign w:val="center"/>
          </w:tcPr>
          <w:p w14:paraId="17A668C8">
            <w:pPr>
              <w:adjustRightInd w:val="0"/>
              <w:spacing w:line="400" w:lineRule="exact"/>
              <w:jc w:val="center"/>
              <w:textAlignment w:val="baseline"/>
              <w:rPr>
                <w:rFonts w:hint="eastAsia" w:ascii="宋体" w:hAnsi="宋体" w:eastAsia="宋体" w:cs="宋体"/>
                <w:b/>
                <w:bCs w:val="0"/>
                <w:color w:val="auto"/>
                <w:szCs w:val="21"/>
                <w:highlight w:val="none"/>
                <w:lang w:eastAsia="zh-CN"/>
              </w:rPr>
            </w:pPr>
            <w:r>
              <w:rPr>
                <w:rFonts w:hint="eastAsia" w:ascii="宋体" w:hAnsi="宋体" w:cs="宋体"/>
                <w:b/>
                <w:bCs w:val="0"/>
                <w:color w:val="auto"/>
                <w:szCs w:val="21"/>
                <w:highlight w:val="none"/>
                <w:lang w:eastAsia="zh-CN"/>
              </w:rPr>
              <w:t>商务分</w:t>
            </w:r>
          </w:p>
        </w:tc>
        <w:tc>
          <w:tcPr>
            <w:tcW w:w="7427" w:type="dxa"/>
            <w:gridSpan w:val="2"/>
            <w:vAlign w:val="center"/>
          </w:tcPr>
          <w:p w14:paraId="66F2E812">
            <w:pPr>
              <w:spacing w:line="400" w:lineRule="exact"/>
              <w:jc w:val="center"/>
              <w:rPr>
                <w:rFonts w:hint="eastAsia" w:ascii="宋体" w:hAnsi="宋体" w:cs="Tahoma"/>
                <w:b/>
                <w:bCs w:val="0"/>
                <w:color w:val="auto"/>
                <w:kern w:val="0"/>
                <w:szCs w:val="21"/>
                <w:highlight w:val="none"/>
              </w:rPr>
            </w:pPr>
            <w:r>
              <w:rPr>
                <w:rFonts w:hint="eastAsia" w:ascii="宋体" w:hAnsi="宋体" w:cs="Tahoma"/>
                <w:b/>
                <w:bCs w:val="0"/>
                <w:color w:val="auto"/>
                <w:kern w:val="0"/>
                <w:szCs w:val="21"/>
                <w:highlight w:val="none"/>
              </w:rPr>
              <w:t>评审因素</w:t>
            </w:r>
          </w:p>
        </w:tc>
      </w:tr>
      <w:tr w14:paraId="7469D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3" w:type="dxa"/>
            <w:vAlign w:val="center"/>
          </w:tcPr>
          <w:p w14:paraId="4B238122">
            <w:pPr>
              <w:adjustRightInd w:val="0"/>
              <w:spacing w:line="400" w:lineRule="exact"/>
              <w:ind w:left="-105" w:leftChars="-50" w:right="-105" w:rightChars="-50"/>
              <w:jc w:val="center"/>
              <w:textAlignment w:val="baseline"/>
              <w:rPr>
                <w:rFonts w:hint="default" w:ascii="宋体" w:hAnsi="宋体" w:eastAsia="宋体"/>
                <w:b/>
                <w:bCs w:val="0"/>
                <w:color w:val="auto"/>
                <w:kern w:val="0"/>
                <w:szCs w:val="21"/>
                <w:highlight w:val="none"/>
                <w:lang w:val="en-US" w:eastAsia="zh-CN"/>
              </w:rPr>
            </w:pPr>
            <w:r>
              <w:rPr>
                <w:rFonts w:hint="eastAsia" w:ascii="宋体" w:hAnsi="宋体"/>
                <w:b/>
                <w:bCs w:val="0"/>
                <w:color w:val="auto"/>
                <w:kern w:val="0"/>
                <w:szCs w:val="21"/>
                <w:highlight w:val="none"/>
                <w:lang w:val="en-US" w:eastAsia="zh-CN"/>
              </w:rPr>
              <w:t>3.1</w:t>
            </w:r>
          </w:p>
        </w:tc>
        <w:tc>
          <w:tcPr>
            <w:tcW w:w="1130" w:type="dxa"/>
            <w:vAlign w:val="center"/>
          </w:tcPr>
          <w:p w14:paraId="511344E8">
            <w:pPr>
              <w:spacing w:line="400" w:lineRule="exact"/>
              <w:jc w:val="center"/>
              <w:rPr>
                <w:rFonts w:ascii="宋体" w:hAnsi="宋体"/>
                <w:b/>
                <w:bCs w:val="0"/>
                <w:color w:val="auto"/>
                <w:szCs w:val="21"/>
                <w:highlight w:val="none"/>
              </w:rPr>
            </w:pPr>
            <w:r>
              <w:rPr>
                <w:rFonts w:hint="eastAsia" w:ascii="宋体" w:hAnsi="宋体"/>
                <w:b/>
                <w:bCs w:val="0"/>
                <w:color w:val="auto"/>
                <w:szCs w:val="21"/>
                <w:highlight w:val="none"/>
              </w:rPr>
              <w:t>业绩分</w:t>
            </w:r>
          </w:p>
        </w:tc>
        <w:tc>
          <w:tcPr>
            <w:tcW w:w="6750" w:type="dxa"/>
          </w:tcPr>
          <w:p w14:paraId="5219BC2A">
            <w:pPr>
              <w:pStyle w:val="2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ascii="宋体" w:hAnsi="宋体"/>
                <w:color w:val="auto"/>
                <w:szCs w:val="21"/>
                <w:highlight w:val="none"/>
              </w:rPr>
            </w:pPr>
            <w:r>
              <w:rPr>
                <w:rFonts w:hint="eastAsia" w:ascii="宋体" w:hAnsi="宋体" w:eastAsia="宋体" w:cs="宋体"/>
                <w:color w:val="auto"/>
                <w:sz w:val="21"/>
                <w:szCs w:val="21"/>
                <w:highlight w:val="none"/>
                <w:lang w:val="en-US" w:eastAsia="zh-CN"/>
              </w:rPr>
              <w:t>2022</w:t>
            </w:r>
            <w:r>
              <w:rPr>
                <w:rFonts w:hint="eastAsia" w:ascii="宋体" w:hAnsi="宋体" w:eastAsia="宋体" w:cs="宋体"/>
                <w:color w:val="auto"/>
                <w:sz w:val="21"/>
                <w:szCs w:val="21"/>
                <w:highlight w:val="none"/>
              </w:rPr>
              <w:t>年1月</w:t>
            </w:r>
            <w:r>
              <w:rPr>
                <w:rFonts w:hint="eastAsia" w:ascii="宋体" w:hAnsi="宋体" w:cs="宋体"/>
                <w:color w:val="auto"/>
                <w:sz w:val="21"/>
                <w:szCs w:val="21"/>
                <w:highlight w:val="none"/>
                <w:lang w:val="en-US" w:eastAsia="zh-CN"/>
              </w:rPr>
              <w:t>1日</w:t>
            </w:r>
            <w:r>
              <w:rPr>
                <w:rFonts w:hint="eastAsia" w:ascii="宋体" w:hAnsi="宋体" w:cs="宋体"/>
                <w:color w:val="auto"/>
                <w:sz w:val="21"/>
                <w:szCs w:val="21"/>
                <w:highlight w:val="none"/>
                <w:lang w:eastAsia="zh-CN"/>
              </w:rPr>
              <w:t>以来</w:t>
            </w:r>
            <w:r>
              <w:rPr>
                <w:rFonts w:hint="eastAsia" w:ascii="宋体" w:cs="宋体"/>
                <w:color w:val="auto"/>
                <w:szCs w:val="21"/>
                <w:highlight w:val="none"/>
                <w:lang w:eastAsia="zh-CN"/>
              </w:rPr>
              <w:t>，供应商</w:t>
            </w:r>
            <w:r>
              <w:rPr>
                <w:rFonts w:hint="eastAsia" w:ascii="宋体" w:cs="宋体"/>
                <w:color w:val="auto"/>
                <w:szCs w:val="21"/>
                <w:highlight w:val="none"/>
                <w:lang w:val="en-US" w:eastAsia="zh-CN"/>
              </w:rPr>
              <w:t>具有</w:t>
            </w:r>
            <w:r>
              <w:rPr>
                <w:rFonts w:hint="eastAsia" w:ascii="宋体" w:cs="宋体"/>
                <w:color w:val="auto"/>
                <w:szCs w:val="21"/>
                <w:highlight w:val="none"/>
                <w:lang w:eastAsia="zh-CN"/>
              </w:rPr>
              <w:t>与本项目类似业绩的，每个得</w:t>
            </w:r>
            <w:r>
              <w:rPr>
                <w:rFonts w:hint="eastAsia" w:ascii="宋体" w:cs="宋体"/>
                <w:color w:val="auto"/>
                <w:szCs w:val="21"/>
                <w:highlight w:val="none"/>
                <w:lang w:val="en-US" w:eastAsia="zh-CN"/>
              </w:rPr>
              <w:t>1.5</w:t>
            </w:r>
            <w:r>
              <w:rPr>
                <w:rFonts w:hint="eastAsia" w:ascii="宋体" w:cs="宋体"/>
                <w:color w:val="auto"/>
                <w:szCs w:val="21"/>
                <w:highlight w:val="none"/>
                <w:lang w:eastAsia="zh-CN"/>
              </w:rPr>
              <w:t>分，满分</w:t>
            </w:r>
            <w:r>
              <w:rPr>
                <w:rFonts w:hint="eastAsia" w:ascii="宋体" w:cs="宋体"/>
                <w:color w:val="auto"/>
                <w:szCs w:val="21"/>
                <w:highlight w:val="none"/>
                <w:lang w:val="en-US" w:eastAsia="zh-CN"/>
              </w:rPr>
              <w:t>15</w:t>
            </w:r>
            <w:r>
              <w:rPr>
                <w:rFonts w:hint="eastAsia" w:ascii="宋体" w:cs="宋体"/>
                <w:color w:val="auto"/>
                <w:szCs w:val="21"/>
                <w:highlight w:val="none"/>
                <w:lang w:eastAsia="zh-CN"/>
              </w:rPr>
              <w:t>分</w:t>
            </w:r>
            <w:r>
              <w:rPr>
                <w:rFonts w:hint="eastAsia" w:ascii="宋体" w:cs="宋体"/>
                <w:b/>
                <w:bCs/>
                <w:color w:val="auto"/>
                <w:szCs w:val="21"/>
                <w:highlight w:val="none"/>
                <w:lang w:eastAsia="zh-CN"/>
              </w:rPr>
              <w:t>（须提供成交通知书或合同复印件并加盖竞标人公章，否则不得分）。</w:t>
            </w:r>
          </w:p>
        </w:tc>
        <w:tc>
          <w:tcPr>
            <w:tcW w:w="677" w:type="dxa"/>
            <w:vAlign w:val="center"/>
          </w:tcPr>
          <w:p w14:paraId="42058FB2">
            <w:pPr>
              <w:spacing w:line="400" w:lineRule="exact"/>
              <w:jc w:val="center"/>
              <w:rPr>
                <w:rFonts w:ascii="宋体" w:hAnsi="宋体" w:cs="Tahoma"/>
                <w:b/>
                <w:bCs/>
                <w:color w:val="auto"/>
                <w:kern w:val="0"/>
                <w:szCs w:val="21"/>
                <w:highlight w:val="none"/>
              </w:rPr>
            </w:pPr>
            <w:r>
              <w:rPr>
                <w:rFonts w:hint="eastAsia" w:ascii="宋体" w:hAnsi="宋体" w:cs="Tahoma"/>
                <w:b/>
                <w:bCs/>
                <w:color w:val="auto"/>
                <w:kern w:val="0"/>
                <w:szCs w:val="21"/>
                <w:highlight w:val="none"/>
                <w:lang w:val="en-US" w:eastAsia="zh-CN"/>
              </w:rPr>
              <w:t>15</w:t>
            </w:r>
            <w:r>
              <w:rPr>
                <w:rFonts w:hint="eastAsia" w:ascii="宋体" w:hAnsi="宋体" w:cs="Tahoma"/>
                <w:b/>
                <w:bCs/>
                <w:color w:val="auto"/>
                <w:kern w:val="0"/>
                <w:szCs w:val="21"/>
                <w:highlight w:val="none"/>
              </w:rPr>
              <w:t>分</w:t>
            </w:r>
          </w:p>
        </w:tc>
      </w:tr>
      <w:tr w14:paraId="2C17B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3" w:type="dxa"/>
            <w:vAlign w:val="center"/>
          </w:tcPr>
          <w:p w14:paraId="6169034F">
            <w:pPr>
              <w:adjustRightInd w:val="0"/>
              <w:spacing w:line="400" w:lineRule="exact"/>
              <w:ind w:left="-105" w:leftChars="-50" w:right="-105" w:rightChars="-50"/>
              <w:jc w:val="center"/>
              <w:textAlignment w:val="baseline"/>
              <w:rPr>
                <w:rFonts w:hint="default" w:ascii="宋体" w:hAnsi="宋体" w:eastAsia="宋体"/>
                <w:b/>
                <w:bCs w:val="0"/>
                <w:color w:val="auto"/>
                <w:kern w:val="0"/>
                <w:szCs w:val="21"/>
                <w:highlight w:val="none"/>
                <w:lang w:val="en-US" w:eastAsia="zh-CN"/>
              </w:rPr>
            </w:pPr>
            <w:r>
              <w:rPr>
                <w:rFonts w:hint="eastAsia" w:ascii="宋体" w:hAnsi="宋体"/>
                <w:b/>
                <w:bCs w:val="0"/>
                <w:color w:val="auto"/>
                <w:kern w:val="0"/>
                <w:szCs w:val="21"/>
                <w:highlight w:val="none"/>
                <w:lang w:val="en-US" w:eastAsia="zh-CN"/>
              </w:rPr>
              <w:t>3.2</w:t>
            </w:r>
          </w:p>
        </w:tc>
        <w:tc>
          <w:tcPr>
            <w:tcW w:w="1130" w:type="dxa"/>
            <w:vAlign w:val="center"/>
          </w:tcPr>
          <w:p w14:paraId="3A129568">
            <w:pPr>
              <w:spacing w:line="400" w:lineRule="exact"/>
              <w:jc w:val="center"/>
              <w:rPr>
                <w:rFonts w:hint="eastAsia" w:ascii="宋体" w:hAnsi="宋体" w:eastAsia="宋体"/>
                <w:b/>
                <w:bCs w:val="0"/>
                <w:color w:val="auto"/>
                <w:szCs w:val="21"/>
                <w:highlight w:val="none"/>
                <w:lang w:eastAsia="zh-CN"/>
              </w:rPr>
            </w:pPr>
            <w:r>
              <w:rPr>
                <w:rFonts w:hint="eastAsia" w:ascii="宋体" w:hAnsi="宋体"/>
                <w:b/>
                <w:bCs w:val="0"/>
                <w:color w:val="auto"/>
                <w:szCs w:val="21"/>
                <w:highlight w:val="none"/>
                <w:lang w:eastAsia="zh-CN"/>
              </w:rPr>
              <w:t>信誉分</w:t>
            </w:r>
          </w:p>
        </w:tc>
        <w:tc>
          <w:tcPr>
            <w:tcW w:w="6750" w:type="dxa"/>
          </w:tcPr>
          <w:p w14:paraId="46939FB9">
            <w:pPr>
              <w:pStyle w:val="2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cs="宋体"/>
                <w:color w:val="auto"/>
                <w:szCs w:val="21"/>
                <w:highlight w:val="none"/>
                <w:lang w:eastAsia="zh-CN"/>
              </w:rPr>
              <w:t>202</w:t>
            </w:r>
            <w:r>
              <w:rPr>
                <w:rFonts w:hint="eastAsia" w:ascii="宋体" w:cs="宋体"/>
                <w:color w:val="auto"/>
                <w:szCs w:val="21"/>
                <w:highlight w:val="none"/>
                <w:lang w:val="en-US" w:eastAsia="zh-CN"/>
              </w:rPr>
              <w:t>2</w:t>
            </w:r>
            <w:r>
              <w:rPr>
                <w:rFonts w:hint="eastAsia" w:ascii="宋体" w:cs="宋体"/>
                <w:color w:val="auto"/>
                <w:szCs w:val="21"/>
                <w:highlight w:val="none"/>
                <w:lang w:eastAsia="zh-CN"/>
              </w:rPr>
              <w:t>年1月1日以来，供应商在会计、审计行业中获得国家认可的有关审计质量的竞赛或评审等奖项的。国家级奖项，每有</w:t>
            </w:r>
            <w:r>
              <w:rPr>
                <w:rFonts w:hint="eastAsia" w:ascii="宋体" w:cs="宋体"/>
                <w:color w:val="auto"/>
                <w:szCs w:val="21"/>
                <w:highlight w:val="none"/>
                <w:lang w:val="en-US" w:eastAsia="zh-CN"/>
              </w:rPr>
              <w:t>1项得2.5分；</w:t>
            </w:r>
            <w:r>
              <w:rPr>
                <w:rFonts w:hint="eastAsia" w:ascii="宋体" w:cs="宋体"/>
                <w:color w:val="auto"/>
                <w:szCs w:val="21"/>
                <w:highlight w:val="none"/>
                <w:lang w:eastAsia="zh-CN"/>
              </w:rPr>
              <w:t>省级（</w:t>
            </w:r>
            <w:r>
              <w:rPr>
                <w:rFonts w:hint="eastAsia" w:ascii="宋体" w:cs="宋体"/>
                <w:color w:val="auto"/>
                <w:szCs w:val="21"/>
                <w:highlight w:val="none"/>
                <w:lang w:val="en-US" w:eastAsia="zh-CN"/>
              </w:rPr>
              <w:t>自治区级或直辖市级</w:t>
            </w:r>
            <w:r>
              <w:rPr>
                <w:rFonts w:hint="eastAsia" w:ascii="宋体" w:cs="宋体"/>
                <w:color w:val="auto"/>
                <w:szCs w:val="21"/>
                <w:highlight w:val="none"/>
                <w:lang w:eastAsia="zh-CN"/>
              </w:rPr>
              <w:t>）奖项，每有</w:t>
            </w:r>
            <w:r>
              <w:rPr>
                <w:rFonts w:hint="eastAsia" w:ascii="宋体" w:cs="宋体"/>
                <w:color w:val="auto"/>
                <w:szCs w:val="21"/>
                <w:highlight w:val="none"/>
                <w:lang w:val="en-US" w:eastAsia="zh-CN"/>
              </w:rPr>
              <w:t>1项得2分；</w:t>
            </w:r>
            <w:r>
              <w:rPr>
                <w:rFonts w:hint="eastAsia" w:ascii="宋体" w:cs="宋体"/>
                <w:color w:val="auto"/>
                <w:szCs w:val="21"/>
                <w:highlight w:val="none"/>
                <w:lang w:eastAsia="zh-CN"/>
              </w:rPr>
              <w:t>市级奖项，每有</w:t>
            </w:r>
            <w:r>
              <w:rPr>
                <w:rFonts w:hint="eastAsia" w:ascii="宋体" w:cs="宋体"/>
                <w:color w:val="auto"/>
                <w:szCs w:val="21"/>
                <w:highlight w:val="none"/>
                <w:lang w:val="en-US" w:eastAsia="zh-CN"/>
              </w:rPr>
              <w:t>1项得1分</w:t>
            </w:r>
            <w:r>
              <w:rPr>
                <w:rFonts w:hint="eastAsia" w:ascii="宋体" w:cs="宋体"/>
                <w:color w:val="auto"/>
                <w:szCs w:val="21"/>
                <w:highlight w:val="none"/>
                <w:lang w:eastAsia="zh-CN"/>
              </w:rPr>
              <w:t>。满分</w:t>
            </w:r>
            <w:r>
              <w:rPr>
                <w:rFonts w:hint="eastAsia" w:ascii="宋体" w:cs="宋体"/>
                <w:color w:val="auto"/>
                <w:szCs w:val="21"/>
                <w:highlight w:val="none"/>
                <w:lang w:val="en-US" w:eastAsia="zh-CN"/>
              </w:rPr>
              <w:t>5</w:t>
            </w:r>
            <w:r>
              <w:rPr>
                <w:rFonts w:hint="eastAsia" w:ascii="宋体" w:cs="宋体"/>
                <w:color w:val="auto"/>
                <w:szCs w:val="21"/>
                <w:highlight w:val="none"/>
                <w:lang w:eastAsia="zh-CN"/>
              </w:rPr>
              <w:t>分。</w:t>
            </w:r>
          </w:p>
          <w:p w14:paraId="37E2F481">
            <w:pPr>
              <w:pStyle w:val="24"/>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eastAsia="宋体"/>
                <w:color w:val="auto"/>
                <w:highlight w:val="none"/>
                <w:lang w:eastAsia="zh-CN"/>
              </w:rPr>
            </w:pPr>
            <w:r>
              <w:rPr>
                <w:rFonts w:hint="eastAsia" w:ascii="宋体" w:hAnsi="宋体" w:eastAsia="宋体" w:cs="宋体"/>
                <w:b/>
                <w:color w:val="auto"/>
                <w:sz w:val="21"/>
                <w:szCs w:val="21"/>
                <w:highlight w:val="none"/>
                <w:lang w:eastAsia="zh-CN"/>
              </w:rPr>
              <w:t>注：</w:t>
            </w:r>
            <w:r>
              <w:rPr>
                <w:rFonts w:hint="eastAsia" w:ascii="宋体" w:hAnsi="宋体" w:eastAsia="宋体" w:cs="宋体"/>
                <w:b/>
                <w:color w:val="auto"/>
                <w:sz w:val="21"/>
                <w:szCs w:val="21"/>
                <w:highlight w:val="none"/>
              </w:rPr>
              <w:t>提供相关证书复印件并加盖公章</w:t>
            </w:r>
            <w:r>
              <w:rPr>
                <w:rFonts w:hint="eastAsia" w:ascii="宋体" w:hAnsi="宋体" w:eastAsia="宋体" w:cs="宋体"/>
                <w:b/>
                <w:color w:val="auto"/>
                <w:sz w:val="21"/>
                <w:szCs w:val="21"/>
                <w:highlight w:val="none"/>
                <w:lang w:eastAsia="zh-CN"/>
              </w:rPr>
              <w:t>，</w:t>
            </w:r>
            <w:r>
              <w:rPr>
                <w:rFonts w:hint="eastAsia" w:ascii="宋体" w:hAnsi="宋体" w:eastAsia="宋体" w:cs="Courier New"/>
                <w:b/>
                <w:bCs w:val="0"/>
                <w:color w:val="auto"/>
                <w:szCs w:val="21"/>
                <w:highlight w:val="none"/>
                <w:lang w:val="en-US" w:eastAsia="zh-CN"/>
              </w:rPr>
              <w:t>否则不得分</w:t>
            </w:r>
            <w:r>
              <w:rPr>
                <w:rFonts w:hint="eastAsia" w:ascii="宋体" w:hAnsi="宋体" w:eastAsia="宋体" w:cs="宋体"/>
                <w:color w:val="auto"/>
                <w:sz w:val="21"/>
                <w:szCs w:val="21"/>
                <w:highlight w:val="none"/>
              </w:rPr>
              <w:t>。</w:t>
            </w:r>
          </w:p>
        </w:tc>
        <w:tc>
          <w:tcPr>
            <w:tcW w:w="677" w:type="dxa"/>
            <w:vAlign w:val="center"/>
          </w:tcPr>
          <w:p w14:paraId="6B09628E">
            <w:pPr>
              <w:spacing w:line="400" w:lineRule="exact"/>
              <w:jc w:val="center"/>
              <w:rPr>
                <w:rFonts w:hint="default" w:ascii="宋体" w:hAnsi="宋体" w:eastAsia="宋体" w:cs="Tahoma"/>
                <w:b/>
                <w:bCs/>
                <w:color w:val="auto"/>
                <w:kern w:val="0"/>
                <w:szCs w:val="21"/>
                <w:highlight w:val="none"/>
                <w:lang w:val="en-US" w:eastAsia="zh-CN"/>
              </w:rPr>
            </w:pPr>
            <w:r>
              <w:rPr>
                <w:rFonts w:hint="eastAsia" w:ascii="宋体" w:hAnsi="宋体" w:cs="Tahoma"/>
                <w:b/>
                <w:bCs/>
                <w:color w:val="auto"/>
                <w:kern w:val="0"/>
                <w:szCs w:val="21"/>
                <w:highlight w:val="none"/>
                <w:lang w:val="en-US" w:eastAsia="zh-CN"/>
              </w:rPr>
              <w:t>5分</w:t>
            </w:r>
          </w:p>
        </w:tc>
      </w:tr>
      <w:tr w14:paraId="543B6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8413" w:type="dxa"/>
            <w:gridSpan w:val="3"/>
          </w:tcPr>
          <w:p w14:paraId="34C57755">
            <w:pPr>
              <w:pStyle w:val="18"/>
              <w:spacing w:line="400" w:lineRule="exact"/>
              <w:ind w:firstLine="420" w:firstLineChars="200"/>
              <w:rPr>
                <w:rFonts w:hint="default" w:hAnsi="宋体" w:eastAsia="宋体" w:cs="Courier New"/>
                <w:bCs/>
                <w:color w:val="auto"/>
                <w:kern w:val="2"/>
                <w:sz w:val="21"/>
                <w:highlight w:val="none"/>
                <w:lang w:val="en-US" w:eastAsia="zh-CN"/>
              </w:rPr>
            </w:pPr>
            <w:r>
              <w:rPr>
                <w:rFonts w:hint="eastAsia" w:hAnsi="宋体" w:cs="Courier New"/>
                <w:bCs/>
                <w:color w:val="auto"/>
                <w:kern w:val="2"/>
                <w:sz w:val="21"/>
                <w:highlight w:val="none"/>
              </w:rPr>
              <w:t>总得分＝1＋2</w:t>
            </w:r>
            <w:r>
              <w:rPr>
                <w:rFonts w:hint="eastAsia" w:hAnsi="宋体" w:cs="Courier New"/>
                <w:bCs/>
                <w:color w:val="auto"/>
                <w:kern w:val="2"/>
                <w:sz w:val="21"/>
                <w:highlight w:val="none"/>
                <w:lang w:val="en-US" w:eastAsia="zh-CN"/>
              </w:rPr>
              <w:t>+3</w:t>
            </w:r>
          </w:p>
        </w:tc>
        <w:tc>
          <w:tcPr>
            <w:tcW w:w="677" w:type="dxa"/>
            <w:vAlign w:val="center"/>
          </w:tcPr>
          <w:p w14:paraId="6EE2D9FB">
            <w:pPr>
              <w:widowControl/>
              <w:spacing w:line="400" w:lineRule="exact"/>
              <w:jc w:val="center"/>
              <w:rPr>
                <w:rFonts w:ascii="宋体" w:hAnsi="宋体" w:cs="Tahoma"/>
                <w:color w:val="auto"/>
                <w:kern w:val="0"/>
                <w:szCs w:val="21"/>
                <w:highlight w:val="none"/>
              </w:rPr>
            </w:pPr>
          </w:p>
        </w:tc>
      </w:tr>
    </w:tbl>
    <w:p w14:paraId="5A0B65EC">
      <w:pPr>
        <w:numPr>
          <w:ilvl w:val="0"/>
          <w:numId w:val="2"/>
        </w:numPr>
        <w:spacing w:line="360" w:lineRule="auto"/>
        <w:ind w:firstLine="420" w:firstLineChars="200"/>
        <w:rPr>
          <w:rFonts w:hint="eastAsia" w:ascii="宋体" w:hAnsi="宋体"/>
          <w:bCs/>
          <w:color w:val="auto"/>
          <w:szCs w:val="21"/>
          <w:highlight w:val="none"/>
        </w:rPr>
      </w:pPr>
      <w:r>
        <w:rPr>
          <w:rFonts w:hint="eastAsia" w:ascii="宋体"/>
          <w:bCs/>
          <w:color w:val="auto"/>
          <w:szCs w:val="21"/>
          <w:highlight w:val="none"/>
        </w:rPr>
        <w:t>由磋商小组根据综合评分情况，按照评审得分由高到低顺序推荐3名以上成交候选供应商，并编写评审报告</w:t>
      </w:r>
      <w:r>
        <w:rPr>
          <w:rFonts w:hint="eastAsia" w:ascii="宋体" w:hAnsi="宋体"/>
          <w:bCs/>
          <w:color w:val="auto"/>
          <w:szCs w:val="21"/>
          <w:highlight w:val="none"/>
        </w:rPr>
        <w:t>。符合本章第</w:t>
      </w:r>
      <w:r>
        <w:rPr>
          <w:rFonts w:hint="eastAsia" w:ascii="宋体" w:hAnsi="宋体"/>
          <w:bCs/>
          <w:color w:val="auto"/>
          <w:szCs w:val="21"/>
          <w:highlight w:val="none"/>
          <w:lang w:val="en-US" w:eastAsia="zh-CN"/>
        </w:rPr>
        <w:t>3.8、</w:t>
      </w:r>
      <w:r>
        <w:rPr>
          <w:rFonts w:hint="eastAsia" w:ascii="宋体" w:hAnsi="宋体"/>
          <w:bCs/>
          <w:color w:val="auto"/>
          <w:szCs w:val="21"/>
          <w:highlight w:val="none"/>
        </w:rPr>
        <w:t>4.3条情形的，可以推荐2家成交候选供应商。评审得分相同的，按照最后报价（不计算价格折扣）由低到高的顺序推荐。评审得分且最后报价（不计算价格折扣）相同的，按照技术</w:t>
      </w:r>
      <w:r>
        <w:rPr>
          <w:rFonts w:hint="eastAsia" w:ascii="宋体" w:hAnsi="宋体"/>
          <w:bCs/>
          <w:color w:val="auto"/>
          <w:szCs w:val="21"/>
          <w:highlight w:val="none"/>
          <w:lang w:eastAsia="zh-CN"/>
        </w:rPr>
        <w:t>分、</w:t>
      </w:r>
      <w:r>
        <w:rPr>
          <w:rFonts w:hint="eastAsia" w:ascii="宋体" w:hAnsi="宋体"/>
          <w:bCs/>
          <w:color w:val="auto"/>
          <w:szCs w:val="21"/>
          <w:highlight w:val="none"/>
        </w:rPr>
        <w:t>商务指标优劣顺序推荐（按技术</w:t>
      </w:r>
      <w:r>
        <w:rPr>
          <w:rFonts w:hint="eastAsia" w:ascii="宋体" w:hAnsi="宋体"/>
          <w:bCs/>
          <w:color w:val="auto"/>
          <w:szCs w:val="21"/>
          <w:highlight w:val="none"/>
          <w:lang w:eastAsia="zh-CN"/>
        </w:rPr>
        <w:t>分、</w:t>
      </w:r>
      <w:r>
        <w:rPr>
          <w:rFonts w:hint="eastAsia" w:ascii="宋体" w:hAnsi="宋体"/>
          <w:bCs/>
          <w:color w:val="auto"/>
          <w:szCs w:val="21"/>
          <w:highlight w:val="none"/>
        </w:rPr>
        <w:t>商务得分由高到低排序）。评审得分、最后报价、技术</w:t>
      </w:r>
      <w:r>
        <w:rPr>
          <w:rFonts w:hint="eastAsia" w:ascii="宋体" w:hAnsi="宋体"/>
          <w:bCs/>
          <w:color w:val="auto"/>
          <w:szCs w:val="21"/>
          <w:highlight w:val="none"/>
          <w:lang w:eastAsia="zh-CN"/>
        </w:rPr>
        <w:t>分、</w:t>
      </w:r>
      <w:r>
        <w:rPr>
          <w:rFonts w:hint="eastAsia" w:ascii="宋体" w:hAnsi="宋体"/>
          <w:bCs/>
          <w:color w:val="auto"/>
          <w:szCs w:val="21"/>
          <w:highlight w:val="none"/>
        </w:rPr>
        <w:t>商务分均相同的，由磋商小组随机抽取推荐。</w:t>
      </w:r>
    </w:p>
    <w:p w14:paraId="5346806D">
      <w:pPr>
        <w:pStyle w:val="5"/>
        <w:jc w:val="center"/>
        <w:rPr>
          <w:color w:val="auto"/>
          <w:highlight w:val="none"/>
        </w:rPr>
      </w:pPr>
      <w:r>
        <w:rPr>
          <w:color w:val="auto"/>
          <w:highlight w:val="none"/>
        </w:rPr>
        <w:br w:type="page"/>
      </w:r>
      <w:bookmarkStart w:id="82" w:name="_Toc8922"/>
      <w:bookmarkStart w:id="83" w:name="_Toc29665"/>
      <w:bookmarkStart w:id="84" w:name="_Toc44229897"/>
      <w:bookmarkStart w:id="85" w:name="_Toc4332"/>
      <w:r>
        <w:rPr>
          <w:rStyle w:val="56"/>
          <w:rFonts w:hint="eastAsia" w:ascii="Times New Roman" w:hAnsi="Times New Roman"/>
          <w:b/>
          <w:bCs w:val="0"/>
          <w:color w:val="auto"/>
          <w:sz w:val="32"/>
          <w:highlight w:val="none"/>
        </w:rPr>
        <w:t>第五章 响应文件格式</w:t>
      </w:r>
      <w:bookmarkEnd w:id="82"/>
      <w:bookmarkEnd w:id="83"/>
      <w:bookmarkEnd w:id="84"/>
      <w:bookmarkEnd w:id="85"/>
    </w:p>
    <w:p w14:paraId="2B424054">
      <w:pPr>
        <w:spacing w:line="240" w:lineRule="atLeast"/>
        <w:rPr>
          <w:rFonts w:ascii="宋体" w:hAnsi="宋体"/>
          <w:b/>
          <w:color w:val="auto"/>
          <w:sz w:val="32"/>
          <w:szCs w:val="32"/>
          <w:highlight w:val="none"/>
        </w:rPr>
      </w:pPr>
    </w:p>
    <w:p w14:paraId="6EA2C24D">
      <w:pPr>
        <w:snapToGrid w:val="0"/>
        <w:spacing w:before="50" w:after="50"/>
        <w:outlineLvl w:val="1"/>
        <w:rPr>
          <w:rFonts w:ascii="宋体" w:hAnsi="宋体"/>
          <w:b/>
          <w:bCs/>
          <w:color w:val="auto"/>
          <w:sz w:val="24"/>
          <w:highlight w:val="none"/>
        </w:rPr>
      </w:pPr>
    </w:p>
    <w:p w14:paraId="1292BA24">
      <w:pPr>
        <w:snapToGrid w:val="0"/>
        <w:spacing w:before="50" w:after="50"/>
        <w:jc w:val="center"/>
        <w:outlineLvl w:val="1"/>
        <w:rPr>
          <w:rFonts w:ascii="宋体" w:hAnsi="宋体"/>
          <w:b/>
          <w:bCs/>
          <w:color w:val="auto"/>
          <w:sz w:val="32"/>
          <w:szCs w:val="32"/>
          <w:highlight w:val="none"/>
        </w:rPr>
      </w:pPr>
      <w:bookmarkStart w:id="86" w:name="_Toc2612"/>
      <w:bookmarkStart w:id="87" w:name="_Toc44229898"/>
      <w:r>
        <w:rPr>
          <w:rFonts w:hint="eastAsia" w:ascii="宋体" w:hAnsi="宋体"/>
          <w:b/>
          <w:color w:val="auto"/>
          <w:sz w:val="32"/>
          <w:szCs w:val="32"/>
          <w:highlight w:val="none"/>
        </w:rPr>
        <w:t>（</w:t>
      </w:r>
      <w:bookmarkStart w:id="88" w:name="_Toc35611437"/>
      <w:bookmarkStart w:id="89" w:name="_Toc35611515"/>
      <w:r>
        <w:rPr>
          <w:rFonts w:hint="eastAsia" w:ascii="宋体" w:hAnsi="宋体"/>
          <w:b/>
          <w:bCs/>
          <w:color w:val="auto"/>
          <w:sz w:val="32"/>
          <w:szCs w:val="32"/>
          <w:highlight w:val="none"/>
        </w:rPr>
        <w:t>响应文件外层包装封面格式</w:t>
      </w:r>
      <w:bookmarkEnd w:id="88"/>
      <w:bookmarkEnd w:id="89"/>
      <w:r>
        <w:rPr>
          <w:rFonts w:hint="eastAsia" w:ascii="宋体" w:hAnsi="宋体"/>
          <w:b/>
          <w:color w:val="auto"/>
          <w:sz w:val="32"/>
          <w:szCs w:val="32"/>
          <w:highlight w:val="none"/>
        </w:rPr>
        <w:t xml:space="preserve"> ）</w:t>
      </w:r>
      <w:bookmarkEnd w:id="86"/>
      <w:bookmarkEnd w:id="87"/>
    </w:p>
    <w:p w14:paraId="00A27963">
      <w:pPr>
        <w:snapToGrid w:val="0"/>
        <w:spacing w:before="156" w:beforeLines="50" w:after="50"/>
        <w:rPr>
          <w:rFonts w:ascii="宋体" w:hAnsi="宋体"/>
          <w:color w:val="auto"/>
          <w:sz w:val="24"/>
          <w:szCs w:val="20"/>
          <w:highlight w:val="none"/>
        </w:rPr>
      </w:pPr>
    </w:p>
    <w:p w14:paraId="66BCADF0">
      <w:pPr>
        <w:snapToGrid w:val="0"/>
        <w:spacing w:before="156" w:beforeLines="50" w:after="50"/>
        <w:jc w:val="center"/>
        <w:rPr>
          <w:rFonts w:ascii="宋体" w:hAnsi="宋体"/>
          <w:bCs/>
          <w:color w:val="auto"/>
          <w:sz w:val="24"/>
          <w:szCs w:val="20"/>
          <w:highlight w:val="none"/>
        </w:rPr>
      </w:pPr>
    </w:p>
    <w:p w14:paraId="378F0E65">
      <w:pPr>
        <w:snapToGrid w:val="0"/>
        <w:spacing w:before="156" w:beforeLines="50" w:after="50"/>
        <w:jc w:val="center"/>
        <w:rPr>
          <w:rFonts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rPr>
        <w:t>响  应  文  件</w:t>
      </w:r>
    </w:p>
    <w:p w14:paraId="5E6AFD69">
      <w:pPr>
        <w:snapToGrid w:val="0"/>
        <w:spacing w:before="156" w:beforeLines="50" w:after="50"/>
        <w:rPr>
          <w:rFonts w:ascii="宋体" w:hAnsi="宋体"/>
          <w:bCs/>
          <w:color w:val="auto"/>
          <w:sz w:val="24"/>
          <w:szCs w:val="20"/>
          <w:highlight w:val="none"/>
        </w:rPr>
      </w:pPr>
    </w:p>
    <w:p w14:paraId="63167FEC">
      <w:pPr>
        <w:snapToGrid w:val="0"/>
        <w:spacing w:before="156" w:beforeLines="50" w:after="50"/>
        <w:rPr>
          <w:rFonts w:ascii="宋体" w:hAnsi="宋体"/>
          <w:bCs/>
          <w:color w:val="auto"/>
          <w:sz w:val="24"/>
          <w:szCs w:val="20"/>
          <w:highlight w:val="none"/>
        </w:rPr>
      </w:pPr>
    </w:p>
    <w:p w14:paraId="031EB6A3">
      <w:pPr>
        <w:snapToGrid w:val="0"/>
        <w:spacing w:before="156" w:beforeLines="50" w:after="50"/>
        <w:rPr>
          <w:rFonts w:ascii="仿宋_GB2312" w:hAnsi="仿宋_GB2312" w:eastAsia="仿宋_GB2312" w:cs="仿宋_GB2312"/>
          <w:bCs/>
          <w:color w:val="auto"/>
          <w:sz w:val="32"/>
          <w:szCs w:val="32"/>
          <w:highlight w:val="none"/>
        </w:rPr>
      </w:pPr>
    </w:p>
    <w:p w14:paraId="63038902">
      <w:pPr>
        <w:snapToGrid w:val="0"/>
        <w:spacing w:before="156" w:beforeLines="50" w:after="50"/>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项目名称：</w:t>
      </w:r>
    </w:p>
    <w:p w14:paraId="69F887C1">
      <w:pPr>
        <w:snapToGrid w:val="0"/>
        <w:spacing w:before="156" w:beforeLines="50" w:after="50"/>
        <w:ind w:firstLine="480" w:firstLineChars="150"/>
        <w:rPr>
          <w:rFonts w:ascii="仿宋_GB2312" w:hAnsi="仿宋_GB2312" w:eastAsia="仿宋_GB2312" w:cs="仿宋_GB2312"/>
          <w:bCs/>
          <w:color w:val="auto"/>
          <w:sz w:val="32"/>
          <w:szCs w:val="32"/>
          <w:highlight w:val="none"/>
        </w:rPr>
      </w:pPr>
    </w:p>
    <w:p w14:paraId="474C5A72">
      <w:pPr>
        <w:snapToGrid w:val="0"/>
        <w:spacing w:before="156" w:beforeLines="50" w:after="50"/>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项目编号：</w:t>
      </w:r>
    </w:p>
    <w:p w14:paraId="3E58F6C5">
      <w:pPr>
        <w:snapToGrid w:val="0"/>
        <w:spacing w:before="156" w:beforeLines="50" w:after="50"/>
        <w:rPr>
          <w:rFonts w:ascii="仿宋_GB2312" w:hAnsi="仿宋_GB2312" w:eastAsia="仿宋_GB2312" w:cs="仿宋_GB2312"/>
          <w:bCs/>
          <w:color w:val="auto"/>
          <w:sz w:val="32"/>
          <w:szCs w:val="32"/>
          <w:highlight w:val="none"/>
        </w:rPr>
      </w:pPr>
    </w:p>
    <w:p w14:paraId="529EB90A">
      <w:pPr>
        <w:snapToGrid w:val="0"/>
        <w:spacing w:before="156" w:beforeLines="50" w:after="50"/>
        <w:ind w:firstLine="640" w:firstLineChars="200"/>
        <w:rPr>
          <w:rFonts w:hint="eastAsia"/>
          <w:color w:val="auto"/>
          <w:highlight w:val="none"/>
        </w:rPr>
      </w:pPr>
      <w:r>
        <w:rPr>
          <w:rFonts w:hint="eastAsia" w:ascii="仿宋_GB2312" w:hAnsi="仿宋_GB2312" w:eastAsia="仿宋_GB2312" w:cs="仿宋_GB2312"/>
          <w:bCs/>
          <w:color w:val="auto"/>
          <w:sz w:val="32"/>
          <w:szCs w:val="32"/>
          <w:highlight w:val="none"/>
        </w:rPr>
        <w:t>所竞分标（如有则填写，无分标时填写“无”或者留空）：</w:t>
      </w:r>
    </w:p>
    <w:p w14:paraId="74BFE375">
      <w:pPr>
        <w:snapToGrid w:val="0"/>
        <w:spacing w:before="156" w:beforeLines="50" w:after="50"/>
        <w:ind w:firstLine="640" w:firstLineChars="200"/>
        <w:rPr>
          <w:rFonts w:hint="eastAsia" w:ascii="仿宋_GB2312" w:hAnsi="仿宋_GB2312" w:eastAsia="仿宋_GB2312" w:cs="仿宋_GB2312"/>
          <w:bCs/>
          <w:color w:val="auto"/>
          <w:sz w:val="32"/>
          <w:szCs w:val="32"/>
          <w:highlight w:val="none"/>
        </w:rPr>
      </w:pPr>
    </w:p>
    <w:p w14:paraId="6DDBCC8F">
      <w:pPr>
        <w:snapToGrid w:val="0"/>
        <w:spacing w:before="156" w:beforeLines="50" w:after="50"/>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供应商名称：</w:t>
      </w:r>
    </w:p>
    <w:p w14:paraId="167F55B2">
      <w:pPr>
        <w:snapToGrid w:val="0"/>
        <w:spacing w:before="156" w:beforeLines="50" w:after="50"/>
        <w:rPr>
          <w:rFonts w:ascii="仿宋_GB2312" w:hAnsi="仿宋_GB2312" w:eastAsia="仿宋_GB2312" w:cs="仿宋_GB2312"/>
          <w:bCs/>
          <w:color w:val="auto"/>
          <w:sz w:val="32"/>
          <w:szCs w:val="32"/>
          <w:highlight w:val="none"/>
        </w:rPr>
      </w:pPr>
    </w:p>
    <w:p w14:paraId="34D75C5F">
      <w:pPr>
        <w:snapToGrid w:val="0"/>
        <w:spacing w:before="156" w:beforeLines="50" w:after="50"/>
        <w:ind w:firstLine="480" w:firstLineChars="150"/>
        <w:jc w:val="center"/>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首次响应文件提交截止时间前不得启封</w:t>
      </w:r>
    </w:p>
    <w:p w14:paraId="0E2C7F5C">
      <w:pPr>
        <w:snapToGrid w:val="0"/>
        <w:spacing w:before="156" w:beforeLines="50" w:after="50"/>
        <w:ind w:firstLine="5440" w:firstLineChars="1700"/>
        <w:jc w:val="center"/>
        <w:rPr>
          <w:rFonts w:ascii="仿宋_GB2312" w:hAnsi="仿宋_GB2312" w:eastAsia="仿宋_GB2312" w:cs="仿宋_GB2312"/>
          <w:bCs/>
          <w:color w:val="auto"/>
          <w:sz w:val="32"/>
          <w:szCs w:val="32"/>
          <w:highlight w:val="none"/>
        </w:rPr>
      </w:pPr>
    </w:p>
    <w:p w14:paraId="1E01BAC4">
      <w:pPr>
        <w:snapToGrid w:val="0"/>
        <w:spacing w:before="156" w:beforeLines="50" w:after="50"/>
        <w:ind w:firstLine="645"/>
        <w:jc w:val="center"/>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年    月    日</w:t>
      </w:r>
    </w:p>
    <w:p w14:paraId="41CFB0EB">
      <w:pPr>
        <w:snapToGrid w:val="0"/>
        <w:spacing w:before="156" w:beforeLines="50" w:after="50"/>
        <w:rPr>
          <w:rFonts w:ascii="仿宋_GB2312" w:hAnsi="仿宋_GB2312" w:eastAsia="仿宋_GB2312" w:cs="仿宋_GB2312"/>
          <w:bCs/>
          <w:color w:val="auto"/>
          <w:sz w:val="32"/>
          <w:szCs w:val="32"/>
          <w:highlight w:val="none"/>
        </w:rPr>
      </w:pPr>
      <w:r>
        <w:rPr>
          <w:rFonts w:ascii="宋体" w:hAnsi="宋体"/>
          <w:bCs/>
          <w:color w:val="auto"/>
          <w:sz w:val="24"/>
          <w:highlight w:val="none"/>
        </w:rPr>
        <w:br w:type="page"/>
      </w:r>
    </w:p>
    <w:p w14:paraId="58FB1163">
      <w:pPr>
        <w:snapToGrid w:val="0"/>
        <w:spacing w:before="156" w:beforeLines="50" w:after="50" w:line="360" w:lineRule="auto"/>
        <w:outlineLvl w:val="1"/>
        <w:rPr>
          <w:rFonts w:ascii="宋体" w:hAnsi="宋体"/>
          <w:b/>
          <w:bCs/>
          <w:color w:val="auto"/>
          <w:sz w:val="32"/>
          <w:szCs w:val="32"/>
          <w:highlight w:val="none"/>
        </w:rPr>
      </w:pPr>
      <w:bookmarkStart w:id="90" w:name="_Toc35611516"/>
      <w:bookmarkStart w:id="91" w:name="_Toc31723070"/>
      <w:bookmarkStart w:id="92" w:name="_Toc44229899"/>
      <w:bookmarkStart w:id="93" w:name="_Toc31728084"/>
      <w:bookmarkStart w:id="94" w:name="_Toc27223"/>
      <w:bookmarkStart w:id="95" w:name="_Toc35611438"/>
      <w:r>
        <w:rPr>
          <w:rFonts w:hint="eastAsia" w:ascii="宋体" w:hAnsi="宋体"/>
          <w:b/>
          <w:bCs/>
          <w:color w:val="auto"/>
          <w:sz w:val="32"/>
          <w:szCs w:val="32"/>
          <w:highlight w:val="none"/>
        </w:rPr>
        <w:t>一、资格证明文件格式</w:t>
      </w:r>
      <w:bookmarkEnd w:id="90"/>
      <w:bookmarkEnd w:id="91"/>
      <w:bookmarkEnd w:id="92"/>
      <w:bookmarkEnd w:id="93"/>
      <w:bookmarkEnd w:id="94"/>
      <w:bookmarkEnd w:id="95"/>
    </w:p>
    <w:p w14:paraId="54F46E26">
      <w:pPr>
        <w:snapToGrid w:val="0"/>
        <w:spacing w:before="156" w:beforeLines="50" w:after="50" w:line="360" w:lineRule="auto"/>
        <w:jc w:val="left"/>
        <w:rPr>
          <w:rFonts w:ascii="宋体" w:hAnsi="宋体"/>
          <w:b/>
          <w:color w:val="auto"/>
          <w:sz w:val="24"/>
          <w:highlight w:val="none"/>
        </w:rPr>
      </w:pPr>
      <w:r>
        <w:rPr>
          <w:rFonts w:hint="eastAsia" w:ascii="宋体" w:hAnsi="宋体"/>
          <w:b/>
          <w:color w:val="auto"/>
          <w:sz w:val="32"/>
          <w:szCs w:val="32"/>
          <w:highlight w:val="none"/>
        </w:rPr>
        <w:t>1.资格证明文件封面格式：</w:t>
      </w:r>
      <w:r>
        <w:rPr>
          <w:rFonts w:hint="eastAsia" w:ascii="宋体" w:hAnsi="宋体"/>
          <w:b/>
          <w:color w:val="auto"/>
          <w:sz w:val="24"/>
          <w:highlight w:val="none"/>
        </w:rPr>
        <w:t xml:space="preserve"> </w:t>
      </w:r>
    </w:p>
    <w:p w14:paraId="45D59540">
      <w:pPr>
        <w:snapToGrid w:val="0"/>
        <w:spacing w:before="156" w:beforeLines="50" w:after="50"/>
        <w:rPr>
          <w:rFonts w:ascii="宋体" w:hAnsi="宋体"/>
          <w:bCs/>
          <w:color w:val="auto"/>
          <w:sz w:val="32"/>
          <w:szCs w:val="20"/>
          <w:highlight w:val="none"/>
        </w:rPr>
      </w:pPr>
      <w:r>
        <w:rPr>
          <w:rFonts w:hint="eastAsia" w:ascii="宋体" w:hAnsi="宋体"/>
          <w:color w:val="auto"/>
          <w:sz w:val="24"/>
          <w:highlight w:val="none"/>
        </w:rPr>
        <w:t xml:space="preserve">                                                    </w:t>
      </w:r>
      <w:r>
        <w:rPr>
          <w:rFonts w:hint="eastAsia" w:ascii="宋体" w:hAnsi="宋体"/>
          <w:bCs/>
          <w:color w:val="auto"/>
          <w:highlight w:val="none"/>
        </w:rPr>
        <w:t>正本/副本</w:t>
      </w:r>
    </w:p>
    <w:p w14:paraId="2E8D3A21">
      <w:pPr>
        <w:snapToGrid w:val="0"/>
        <w:spacing w:before="156" w:beforeLines="50" w:after="50"/>
        <w:rPr>
          <w:rFonts w:ascii="宋体" w:hAnsi="宋体"/>
          <w:color w:val="auto"/>
          <w:sz w:val="24"/>
          <w:szCs w:val="20"/>
          <w:highlight w:val="none"/>
        </w:rPr>
      </w:pPr>
    </w:p>
    <w:p w14:paraId="6AD80A21">
      <w:pPr>
        <w:snapToGrid w:val="0"/>
        <w:spacing w:before="156" w:beforeLines="50" w:after="50"/>
        <w:rPr>
          <w:rFonts w:ascii="宋体" w:hAnsi="宋体"/>
          <w:color w:val="auto"/>
          <w:sz w:val="24"/>
          <w:szCs w:val="20"/>
          <w:highlight w:val="none"/>
        </w:rPr>
      </w:pPr>
    </w:p>
    <w:p w14:paraId="27C04712">
      <w:pPr>
        <w:snapToGrid w:val="0"/>
        <w:spacing w:before="156" w:beforeLines="50" w:after="50"/>
        <w:jc w:val="center"/>
        <w:rPr>
          <w:rFonts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rPr>
        <w:t>资  格  证  明  文  件</w:t>
      </w:r>
    </w:p>
    <w:p w14:paraId="1164E659">
      <w:pPr>
        <w:snapToGrid w:val="0"/>
        <w:spacing w:before="156" w:beforeLines="50" w:after="50"/>
        <w:rPr>
          <w:rFonts w:ascii="宋体" w:hAnsi="宋体"/>
          <w:bCs/>
          <w:color w:val="auto"/>
          <w:sz w:val="24"/>
          <w:szCs w:val="20"/>
          <w:highlight w:val="none"/>
        </w:rPr>
      </w:pPr>
    </w:p>
    <w:p w14:paraId="3DADF498">
      <w:pPr>
        <w:snapToGrid w:val="0"/>
        <w:spacing w:before="156" w:beforeLines="50" w:after="50"/>
        <w:rPr>
          <w:rFonts w:ascii="宋体" w:hAnsi="宋体"/>
          <w:bCs/>
          <w:color w:val="auto"/>
          <w:sz w:val="24"/>
          <w:szCs w:val="20"/>
          <w:highlight w:val="none"/>
        </w:rPr>
      </w:pPr>
    </w:p>
    <w:p w14:paraId="1DC27910">
      <w:pPr>
        <w:snapToGrid w:val="0"/>
        <w:spacing w:before="156" w:beforeLines="50" w:after="50"/>
        <w:rPr>
          <w:rFonts w:ascii="宋体" w:hAnsi="宋体"/>
          <w:bCs/>
          <w:color w:val="auto"/>
          <w:sz w:val="24"/>
          <w:szCs w:val="20"/>
          <w:highlight w:val="none"/>
        </w:rPr>
      </w:pPr>
    </w:p>
    <w:p w14:paraId="100A94CE">
      <w:pPr>
        <w:snapToGrid w:val="0"/>
        <w:spacing w:before="156" w:beforeLines="50" w:after="50"/>
        <w:rPr>
          <w:rFonts w:ascii="宋体" w:hAnsi="宋体"/>
          <w:bCs/>
          <w:color w:val="auto"/>
          <w:sz w:val="24"/>
          <w:szCs w:val="20"/>
          <w:highlight w:val="none"/>
        </w:rPr>
      </w:pPr>
    </w:p>
    <w:p w14:paraId="124D4FFA">
      <w:pPr>
        <w:snapToGrid w:val="0"/>
        <w:spacing w:before="156" w:beforeLines="50" w:after="50"/>
        <w:rPr>
          <w:rFonts w:ascii="宋体" w:hAnsi="宋体"/>
          <w:bCs/>
          <w:color w:val="auto"/>
          <w:sz w:val="24"/>
          <w:szCs w:val="20"/>
          <w:highlight w:val="none"/>
        </w:rPr>
      </w:pPr>
    </w:p>
    <w:p w14:paraId="0E707EE1">
      <w:pPr>
        <w:snapToGrid w:val="0"/>
        <w:spacing w:before="156" w:beforeLines="50" w:after="50"/>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项目名称：</w:t>
      </w:r>
    </w:p>
    <w:p w14:paraId="3F2A7C24">
      <w:pPr>
        <w:snapToGrid w:val="0"/>
        <w:spacing w:before="156" w:beforeLines="50" w:after="50"/>
        <w:ind w:firstLine="720" w:firstLineChars="225"/>
        <w:rPr>
          <w:rFonts w:ascii="仿宋_GB2312" w:hAnsi="仿宋_GB2312" w:eastAsia="仿宋_GB2312" w:cs="仿宋_GB2312"/>
          <w:bCs/>
          <w:color w:val="auto"/>
          <w:sz w:val="32"/>
          <w:szCs w:val="32"/>
          <w:highlight w:val="none"/>
        </w:rPr>
      </w:pPr>
    </w:p>
    <w:p w14:paraId="78B41519">
      <w:pPr>
        <w:snapToGrid w:val="0"/>
        <w:spacing w:before="156" w:beforeLines="50" w:after="50"/>
        <w:ind w:firstLine="720" w:firstLineChars="225"/>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项目编号：</w:t>
      </w:r>
    </w:p>
    <w:p w14:paraId="2C8B5B1F">
      <w:pPr>
        <w:snapToGrid w:val="0"/>
        <w:spacing w:before="156" w:beforeLines="50" w:after="50"/>
        <w:ind w:firstLine="720" w:firstLineChars="225"/>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 xml:space="preserve"> </w:t>
      </w:r>
    </w:p>
    <w:p w14:paraId="0669C8C1">
      <w:pPr>
        <w:snapToGrid w:val="0"/>
        <w:spacing w:before="156" w:beforeLines="50" w:after="50"/>
        <w:ind w:firstLine="720" w:firstLineChars="225"/>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所竞分标（如有则填写，无分标时填写“无”或者留空）：</w:t>
      </w:r>
    </w:p>
    <w:p w14:paraId="39BE7960">
      <w:pPr>
        <w:snapToGrid w:val="0"/>
        <w:spacing w:before="156" w:beforeLines="50" w:after="50"/>
        <w:ind w:firstLine="720" w:firstLineChars="225"/>
        <w:rPr>
          <w:rFonts w:ascii="仿宋_GB2312" w:hAnsi="仿宋_GB2312" w:eastAsia="仿宋_GB2312" w:cs="仿宋_GB2312"/>
          <w:bCs/>
          <w:color w:val="auto"/>
          <w:sz w:val="32"/>
          <w:szCs w:val="32"/>
          <w:highlight w:val="none"/>
        </w:rPr>
      </w:pPr>
    </w:p>
    <w:p w14:paraId="63C48ADD">
      <w:pPr>
        <w:pStyle w:val="9"/>
        <w:snapToGrid w:val="0"/>
        <w:spacing w:before="50" w:after="50"/>
        <w:ind w:firstLine="720" w:firstLineChars="225"/>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供应商名称：</w:t>
      </w:r>
    </w:p>
    <w:p w14:paraId="7B81E7CF">
      <w:pPr>
        <w:pStyle w:val="9"/>
        <w:snapToGrid w:val="0"/>
        <w:spacing w:before="50" w:after="50"/>
        <w:ind w:firstLine="720" w:firstLineChars="225"/>
        <w:rPr>
          <w:rFonts w:ascii="仿宋_GB2312" w:hAnsi="仿宋_GB2312" w:eastAsia="仿宋_GB2312" w:cs="仿宋_GB2312"/>
          <w:bCs/>
          <w:color w:val="auto"/>
          <w:sz w:val="32"/>
          <w:szCs w:val="32"/>
          <w:highlight w:val="none"/>
        </w:rPr>
      </w:pPr>
    </w:p>
    <w:p w14:paraId="7909DFD8">
      <w:pPr>
        <w:pStyle w:val="9"/>
        <w:snapToGrid w:val="0"/>
        <w:spacing w:before="50" w:after="50"/>
        <w:ind w:firstLine="720" w:firstLineChars="225"/>
        <w:rPr>
          <w:rFonts w:ascii="仿宋_GB2312" w:hAnsi="仿宋_GB2312" w:eastAsia="仿宋_GB2312" w:cs="仿宋_GB2312"/>
          <w:bCs/>
          <w:color w:val="auto"/>
          <w:sz w:val="32"/>
          <w:szCs w:val="32"/>
          <w:highlight w:val="none"/>
        </w:rPr>
      </w:pPr>
    </w:p>
    <w:p w14:paraId="058D84E8">
      <w:pPr>
        <w:pStyle w:val="9"/>
        <w:snapToGrid w:val="0"/>
        <w:spacing w:before="50" w:after="50"/>
        <w:ind w:firstLine="720" w:firstLineChars="225"/>
        <w:rPr>
          <w:rFonts w:ascii="仿宋_GB2312" w:hAnsi="仿宋_GB2312" w:eastAsia="仿宋_GB2312" w:cs="仿宋_GB2312"/>
          <w:bCs/>
          <w:color w:val="auto"/>
          <w:sz w:val="32"/>
          <w:szCs w:val="32"/>
          <w:highlight w:val="none"/>
        </w:rPr>
      </w:pPr>
    </w:p>
    <w:p w14:paraId="4B6A7B75">
      <w:pPr>
        <w:pStyle w:val="9"/>
        <w:snapToGrid w:val="0"/>
        <w:spacing w:before="50" w:after="50"/>
        <w:ind w:firstLine="1280" w:firstLineChars="400"/>
        <w:rPr>
          <w:rFonts w:ascii="仿宋_GB2312" w:hAnsi="仿宋_GB2312" w:eastAsia="仿宋_GB2312" w:cs="仿宋_GB2312"/>
          <w:bCs/>
          <w:color w:val="auto"/>
          <w:sz w:val="32"/>
          <w:szCs w:val="32"/>
          <w:highlight w:val="none"/>
        </w:rPr>
      </w:pPr>
    </w:p>
    <w:p w14:paraId="7080D779">
      <w:pPr>
        <w:snapToGrid w:val="0"/>
        <w:spacing w:before="156" w:beforeLines="50" w:after="50"/>
        <w:jc w:val="center"/>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年    月    日</w:t>
      </w:r>
    </w:p>
    <w:p w14:paraId="7BE676D8">
      <w:pPr>
        <w:snapToGrid w:val="0"/>
        <w:spacing w:before="156" w:beforeLines="50" w:after="50" w:line="360" w:lineRule="auto"/>
        <w:ind w:left="142"/>
        <w:jc w:val="left"/>
        <w:rPr>
          <w:rFonts w:ascii="宋体" w:hAnsi="宋体"/>
          <w:b/>
          <w:bCs/>
          <w:color w:val="auto"/>
          <w:sz w:val="32"/>
          <w:szCs w:val="32"/>
          <w:highlight w:val="none"/>
        </w:rPr>
      </w:pPr>
      <w:r>
        <w:rPr>
          <w:rFonts w:ascii="宋体" w:hAnsi="宋体"/>
          <w:color w:val="auto"/>
          <w:sz w:val="24"/>
          <w:highlight w:val="none"/>
        </w:rPr>
        <w:br w:type="page"/>
      </w:r>
      <w:r>
        <w:rPr>
          <w:rFonts w:hint="eastAsia" w:ascii="宋体" w:hAnsi="宋体"/>
          <w:b/>
          <w:bCs/>
          <w:color w:val="auto"/>
          <w:sz w:val="32"/>
          <w:szCs w:val="32"/>
          <w:highlight w:val="none"/>
        </w:rPr>
        <w:t>2.资格证明文件目录</w:t>
      </w:r>
    </w:p>
    <w:p w14:paraId="715FE208">
      <w:pPr>
        <w:snapToGrid w:val="0"/>
        <w:spacing w:before="156" w:beforeLines="50" w:after="50" w:line="360" w:lineRule="auto"/>
        <w:ind w:firstLine="645"/>
        <w:rPr>
          <w:rFonts w:ascii="宋体" w:hAnsi="宋体"/>
          <w:color w:val="auto"/>
          <w:sz w:val="32"/>
          <w:szCs w:val="32"/>
          <w:highlight w:val="none"/>
        </w:rPr>
      </w:pPr>
      <w:r>
        <w:rPr>
          <w:rFonts w:hint="eastAsia" w:ascii="宋体" w:hAnsi="宋体"/>
          <w:color w:val="auto"/>
          <w:sz w:val="32"/>
          <w:szCs w:val="32"/>
          <w:highlight w:val="none"/>
        </w:rPr>
        <w:t>根据磋商文件规定及供应商提供的材料自行编写目录（部分格式后附）。</w:t>
      </w:r>
    </w:p>
    <w:p w14:paraId="064D9078">
      <w:pPr>
        <w:snapToGrid w:val="0"/>
        <w:spacing w:before="156" w:beforeLines="50" w:after="50"/>
        <w:rPr>
          <w:rFonts w:ascii="宋体" w:hAnsi="宋体"/>
          <w:color w:val="auto"/>
          <w:sz w:val="24"/>
          <w:szCs w:val="20"/>
          <w:highlight w:val="none"/>
        </w:rPr>
      </w:pPr>
      <w:r>
        <w:rPr>
          <w:rFonts w:ascii="宋体" w:hAnsi="宋体"/>
          <w:color w:val="auto"/>
          <w:sz w:val="24"/>
          <w:szCs w:val="20"/>
          <w:highlight w:val="none"/>
        </w:rPr>
        <w:t xml:space="preserve"> </w:t>
      </w:r>
    </w:p>
    <w:p w14:paraId="3F7A02B5">
      <w:pPr>
        <w:spacing w:line="300" w:lineRule="auto"/>
        <w:rPr>
          <w:rFonts w:ascii="宋体" w:hAnsi="宋体"/>
          <w:color w:val="auto"/>
          <w:szCs w:val="21"/>
          <w:highlight w:val="none"/>
        </w:rPr>
      </w:pPr>
    </w:p>
    <w:p w14:paraId="61427B9B">
      <w:pPr>
        <w:spacing w:line="300" w:lineRule="auto"/>
        <w:rPr>
          <w:rFonts w:ascii="宋体" w:hAnsi="宋体"/>
          <w:color w:val="auto"/>
          <w:szCs w:val="21"/>
          <w:highlight w:val="none"/>
        </w:rPr>
      </w:pPr>
    </w:p>
    <w:p w14:paraId="14261ECD">
      <w:pPr>
        <w:spacing w:line="300" w:lineRule="auto"/>
        <w:rPr>
          <w:rFonts w:ascii="宋体" w:hAnsi="宋体"/>
          <w:color w:val="auto"/>
          <w:szCs w:val="21"/>
          <w:highlight w:val="none"/>
        </w:rPr>
      </w:pPr>
    </w:p>
    <w:p w14:paraId="09B57307">
      <w:pPr>
        <w:spacing w:line="300" w:lineRule="auto"/>
        <w:rPr>
          <w:rFonts w:ascii="宋体" w:hAnsi="宋体"/>
          <w:color w:val="auto"/>
          <w:szCs w:val="21"/>
          <w:highlight w:val="none"/>
        </w:rPr>
      </w:pPr>
    </w:p>
    <w:p w14:paraId="2E866F69">
      <w:pPr>
        <w:spacing w:line="300" w:lineRule="auto"/>
        <w:rPr>
          <w:rFonts w:ascii="宋体" w:hAnsi="宋体"/>
          <w:color w:val="auto"/>
          <w:szCs w:val="21"/>
          <w:highlight w:val="none"/>
        </w:rPr>
      </w:pPr>
    </w:p>
    <w:p w14:paraId="3A8065F8">
      <w:pPr>
        <w:spacing w:line="300" w:lineRule="auto"/>
        <w:rPr>
          <w:rFonts w:ascii="宋体" w:hAnsi="宋体"/>
          <w:color w:val="auto"/>
          <w:szCs w:val="21"/>
          <w:highlight w:val="none"/>
        </w:rPr>
      </w:pPr>
    </w:p>
    <w:p w14:paraId="490ABE4E">
      <w:pPr>
        <w:spacing w:line="300" w:lineRule="auto"/>
        <w:rPr>
          <w:rFonts w:ascii="宋体" w:hAnsi="宋体"/>
          <w:color w:val="auto"/>
          <w:szCs w:val="21"/>
          <w:highlight w:val="none"/>
        </w:rPr>
      </w:pPr>
    </w:p>
    <w:p w14:paraId="29E92AB1">
      <w:pPr>
        <w:spacing w:line="300" w:lineRule="auto"/>
        <w:rPr>
          <w:rFonts w:ascii="宋体" w:hAnsi="宋体"/>
          <w:color w:val="auto"/>
          <w:szCs w:val="21"/>
          <w:highlight w:val="none"/>
        </w:rPr>
      </w:pPr>
    </w:p>
    <w:p w14:paraId="782A5EF3">
      <w:pPr>
        <w:spacing w:line="300" w:lineRule="auto"/>
        <w:rPr>
          <w:rFonts w:ascii="宋体" w:hAnsi="宋体"/>
          <w:color w:val="auto"/>
          <w:szCs w:val="21"/>
          <w:highlight w:val="none"/>
        </w:rPr>
      </w:pPr>
    </w:p>
    <w:p w14:paraId="5AED5227">
      <w:pPr>
        <w:spacing w:line="300" w:lineRule="auto"/>
        <w:rPr>
          <w:rFonts w:ascii="宋体" w:hAnsi="宋体"/>
          <w:color w:val="auto"/>
          <w:szCs w:val="21"/>
          <w:highlight w:val="none"/>
        </w:rPr>
      </w:pPr>
    </w:p>
    <w:p w14:paraId="1D8B3E66">
      <w:pPr>
        <w:spacing w:line="300" w:lineRule="auto"/>
        <w:rPr>
          <w:rFonts w:ascii="宋体" w:hAnsi="宋体"/>
          <w:color w:val="auto"/>
          <w:szCs w:val="21"/>
          <w:highlight w:val="none"/>
        </w:rPr>
      </w:pPr>
    </w:p>
    <w:p w14:paraId="3B038E46">
      <w:pPr>
        <w:spacing w:line="300" w:lineRule="auto"/>
        <w:rPr>
          <w:rFonts w:ascii="宋体" w:hAnsi="宋体"/>
          <w:color w:val="auto"/>
          <w:szCs w:val="21"/>
          <w:highlight w:val="none"/>
        </w:rPr>
      </w:pPr>
    </w:p>
    <w:p w14:paraId="27FE5DDC">
      <w:pPr>
        <w:spacing w:line="300" w:lineRule="auto"/>
        <w:rPr>
          <w:rFonts w:ascii="宋体" w:hAnsi="宋体"/>
          <w:color w:val="auto"/>
          <w:szCs w:val="21"/>
          <w:highlight w:val="none"/>
        </w:rPr>
      </w:pPr>
    </w:p>
    <w:p w14:paraId="7EFC9963">
      <w:pPr>
        <w:spacing w:line="300" w:lineRule="auto"/>
        <w:rPr>
          <w:rFonts w:ascii="宋体" w:hAnsi="宋体"/>
          <w:color w:val="auto"/>
          <w:szCs w:val="21"/>
          <w:highlight w:val="none"/>
        </w:rPr>
      </w:pPr>
    </w:p>
    <w:p w14:paraId="7647C6B6">
      <w:pPr>
        <w:spacing w:line="300" w:lineRule="auto"/>
        <w:rPr>
          <w:rFonts w:ascii="宋体" w:hAnsi="宋体"/>
          <w:color w:val="auto"/>
          <w:szCs w:val="21"/>
          <w:highlight w:val="none"/>
        </w:rPr>
      </w:pPr>
    </w:p>
    <w:p w14:paraId="671D82B8">
      <w:pPr>
        <w:spacing w:line="320" w:lineRule="exact"/>
        <w:jc w:val="center"/>
        <w:rPr>
          <w:rFonts w:ascii="宋体" w:hAnsi="宋体"/>
          <w:b/>
          <w:color w:val="auto"/>
          <w:sz w:val="32"/>
          <w:szCs w:val="32"/>
          <w:highlight w:val="none"/>
        </w:rPr>
      </w:pPr>
      <w:r>
        <w:rPr>
          <w:rFonts w:ascii="宋体" w:hAnsi="宋体"/>
          <w:color w:val="auto"/>
          <w:szCs w:val="21"/>
          <w:highlight w:val="none"/>
        </w:rPr>
        <w:br w:type="page"/>
      </w:r>
      <w:r>
        <w:rPr>
          <w:rFonts w:hint="eastAsia" w:ascii="宋体" w:hAnsi="宋体"/>
          <w:color w:val="auto"/>
          <w:szCs w:val="21"/>
          <w:highlight w:val="none"/>
        </w:rPr>
        <w:t xml:space="preserve"> </w:t>
      </w:r>
      <w:r>
        <w:rPr>
          <w:rFonts w:hint="eastAsia" w:ascii="宋体" w:hAnsi="宋体"/>
          <w:b/>
          <w:color w:val="auto"/>
          <w:sz w:val="32"/>
          <w:szCs w:val="32"/>
          <w:highlight w:val="none"/>
        </w:rPr>
        <w:t>供应商直接控股、管理关系信息表</w:t>
      </w:r>
    </w:p>
    <w:p w14:paraId="61090D0F">
      <w:pPr>
        <w:snapToGrid w:val="0"/>
        <w:spacing w:before="156" w:beforeLines="50" w:after="50" w:line="360" w:lineRule="auto"/>
        <w:jc w:val="center"/>
        <w:rPr>
          <w:rFonts w:ascii="宋体" w:hAnsi="宋体"/>
          <w:b/>
          <w:color w:val="auto"/>
          <w:sz w:val="24"/>
          <w:highlight w:val="none"/>
        </w:rPr>
      </w:pPr>
    </w:p>
    <w:p w14:paraId="0BB6A40A">
      <w:pPr>
        <w:spacing w:line="320" w:lineRule="exact"/>
        <w:jc w:val="center"/>
        <w:rPr>
          <w:rFonts w:ascii="宋体" w:hAnsi="宋体"/>
          <w:b/>
          <w:color w:val="auto"/>
          <w:sz w:val="32"/>
          <w:szCs w:val="32"/>
          <w:highlight w:val="none"/>
        </w:rPr>
      </w:pPr>
      <w:r>
        <w:rPr>
          <w:rFonts w:hint="eastAsia" w:ascii="宋体" w:hAnsi="宋体"/>
          <w:b/>
          <w:color w:val="auto"/>
          <w:sz w:val="32"/>
          <w:szCs w:val="32"/>
          <w:highlight w:val="none"/>
        </w:rPr>
        <w:t>供应商直接控股股东信息表</w:t>
      </w:r>
    </w:p>
    <w:p w14:paraId="0C22AA95">
      <w:pPr>
        <w:snapToGrid w:val="0"/>
        <w:spacing w:before="50" w:after="156" w:afterLines="50" w:line="360" w:lineRule="auto"/>
        <w:jc w:val="center"/>
        <w:rPr>
          <w:rFonts w:ascii="宋体" w:hAnsi="宋体"/>
          <w:b/>
          <w:color w:val="auto"/>
          <w:sz w:val="24"/>
          <w:highlight w:val="none"/>
        </w:rPr>
      </w:pPr>
    </w:p>
    <w:tbl>
      <w:tblPr>
        <w:tblStyle w:val="31"/>
        <w:tblW w:w="10147" w:type="dxa"/>
        <w:jc w:val="center"/>
        <w:shd w:val="clear" w:color="auto" w:fill="FBFBFB"/>
        <w:tblLayout w:type="fixed"/>
        <w:tblCellMar>
          <w:top w:w="0" w:type="dxa"/>
          <w:left w:w="0" w:type="dxa"/>
          <w:bottom w:w="0" w:type="dxa"/>
          <w:right w:w="0" w:type="dxa"/>
        </w:tblCellMar>
      </w:tblPr>
      <w:tblGrid>
        <w:gridCol w:w="880"/>
        <w:gridCol w:w="2655"/>
        <w:gridCol w:w="1455"/>
        <w:gridCol w:w="4287"/>
        <w:gridCol w:w="870"/>
      </w:tblGrid>
      <w:tr w14:paraId="2FFC58EF">
        <w:tblPrEx>
          <w:shd w:val="clear" w:color="auto" w:fill="FBFBFB"/>
          <w:tblCellMar>
            <w:top w:w="0" w:type="dxa"/>
            <w:left w:w="0" w:type="dxa"/>
            <w:bottom w:w="0" w:type="dxa"/>
            <w:right w:w="0" w:type="dxa"/>
          </w:tblCellMar>
        </w:tblPrEx>
        <w:trPr>
          <w:tblHeader/>
          <w:jc w:val="center"/>
        </w:trPr>
        <w:tc>
          <w:tcPr>
            <w:tcW w:w="880"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7BEB0BCF">
            <w:pPr>
              <w:widowControl/>
              <w:spacing w:line="360" w:lineRule="auto"/>
              <w:jc w:val="center"/>
              <w:rPr>
                <w:rFonts w:ascii="宋体" w:hAnsi="宋体" w:cs="宋体"/>
                <w:b/>
                <w:bCs/>
                <w:color w:val="auto"/>
                <w:kern w:val="0"/>
                <w:sz w:val="24"/>
                <w:highlight w:val="none"/>
              </w:rPr>
            </w:pPr>
            <w:r>
              <w:rPr>
                <w:rFonts w:hint="eastAsia" w:ascii="宋体" w:hAnsi="宋体" w:cs="宋体"/>
                <w:b/>
                <w:bCs/>
                <w:color w:val="auto"/>
                <w:kern w:val="0"/>
                <w:sz w:val="24"/>
                <w:highlight w:val="none"/>
              </w:rPr>
              <w:t>序号</w:t>
            </w:r>
          </w:p>
        </w:tc>
        <w:tc>
          <w:tcPr>
            <w:tcW w:w="2655"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0DB85182">
            <w:pPr>
              <w:widowControl/>
              <w:spacing w:line="360" w:lineRule="auto"/>
              <w:jc w:val="center"/>
              <w:rPr>
                <w:rFonts w:ascii="宋体" w:hAnsi="宋体" w:cs="宋体"/>
                <w:b/>
                <w:bCs/>
                <w:color w:val="auto"/>
                <w:kern w:val="0"/>
                <w:sz w:val="24"/>
                <w:highlight w:val="none"/>
              </w:rPr>
            </w:pPr>
            <w:r>
              <w:rPr>
                <w:rFonts w:hint="eastAsia" w:ascii="宋体" w:hAnsi="宋体" w:cs="宋体"/>
                <w:b/>
                <w:bCs/>
                <w:color w:val="auto"/>
                <w:kern w:val="0"/>
                <w:sz w:val="24"/>
                <w:highlight w:val="none"/>
              </w:rPr>
              <w:t>直接控股股东名称</w:t>
            </w:r>
          </w:p>
        </w:tc>
        <w:tc>
          <w:tcPr>
            <w:tcW w:w="1455"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33253C65">
            <w:pPr>
              <w:widowControl/>
              <w:spacing w:line="360" w:lineRule="auto"/>
              <w:jc w:val="center"/>
              <w:rPr>
                <w:rFonts w:ascii="宋体" w:hAnsi="宋体" w:cs="宋体"/>
                <w:b/>
                <w:bCs/>
                <w:color w:val="auto"/>
                <w:kern w:val="0"/>
                <w:sz w:val="24"/>
                <w:highlight w:val="none"/>
              </w:rPr>
            </w:pPr>
            <w:r>
              <w:rPr>
                <w:rFonts w:hint="eastAsia" w:ascii="宋体" w:hAnsi="宋体" w:cs="宋体"/>
                <w:b/>
                <w:bCs/>
                <w:color w:val="auto"/>
                <w:kern w:val="0"/>
                <w:sz w:val="24"/>
                <w:highlight w:val="none"/>
              </w:rPr>
              <w:t>出资比例</w:t>
            </w:r>
          </w:p>
        </w:tc>
        <w:tc>
          <w:tcPr>
            <w:tcW w:w="4287"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7A0E4CD3">
            <w:pPr>
              <w:widowControl/>
              <w:spacing w:line="360" w:lineRule="auto"/>
              <w:jc w:val="center"/>
              <w:rPr>
                <w:rFonts w:ascii="宋体" w:hAnsi="宋体" w:cs="宋体"/>
                <w:b/>
                <w:bCs/>
                <w:color w:val="auto"/>
                <w:kern w:val="0"/>
                <w:sz w:val="24"/>
                <w:highlight w:val="none"/>
              </w:rPr>
            </w:pPr>
            <w:r>
              <w:rPr>
                <w:rFonts w:hint="eastAsia" w:ascii="宋体" w:hAnsi="宋体" w:cs="宋体"/>
                <w:b/>
                <w:bCs/>
                <w:color w:val="auto"/>
                <w:kern w:val="0"/>
                <w:sz w:val="24"/>
                <w:highlight w:val="none"/>
              </w:rPr>
              <w:t>身份证号码或者统一社会信用代码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5FF237E3">
            <w:pPr>
              <w:widowControl/>
              <w:spacing w:line="360" w:lineRule="auto"/>
              <w:jc w:val="center"/>
              <w:rPr>
                <w:rFonts w:ascii="宋体" w:hAnsi="宋体" w:cs="宋体"/>
                <w:b/>
                <w:bCs/>
                <w:color w:val="auto"/>
                <w:kern w:val="0"/>
                <w:sz w:val="24"/>
                <w:highlight w:val="none"/>
              </w:rPr>
            </w:pPr>
            <w:r>
              <w:rPr>
                <w:rFonts w:hint="eastAsia" w:ascii="宋体" w:hAnsi="宋体" w:cs="宋体"/>
                <w:b/>
                <w:bCs/>
                <w:color w:val="auto"/>
                <w:kern w:val="0"/>
                <w:sz w:val="24"/>
                <w:highlight w:val="none"/>
              </w:rPr>
              <w:t>备注</w:t>
            </w:r>
          </w:p>
        </w:tc>
      </w:tr>
      <w:tr w14:paraId="1F9796A2">
        <w:tblPrEx>
          <w:tblCellMar>
            <w:top w:w="0" w:type="dxa"/>
            <w:left w:w="0" w:type="dxa"/>
            <w:bottom w:w="0" w:type="dxa"/>
            <w:right w:w="0" w:type="dxa"/>
          </w:tblCellMar>
        </w:tblPrEx>
        <w:trPr>
          <w:jc w:val="center"/>
        </w:trPr>
        <w:tc>
          <w:tcPr>
            <w:tcW w:w="880"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19A1EDF5">
            <w:pPr>
              <w:widowControl/>
              <w:spacing w:line="360" w:lineRule="auto"/>
              <w:jc w:val="center"/>
              <w:rPr>
                <w:rFonts w:ascii="宋体" w:hAnsi="宋体" w:cs="宋体"/>
                <w:color w:val="auto"/>
                <w:kern w:val="0"/>
                <w:sz w:val="24"/>
                <w:highlight w:val="none"/>
              </w:rPr>
            </w:pPr>
            <w:r>
              <w:rPr>
                <w:rFonts w:hint="eastAsia" w:ascii="宋体" w:hAnsi="宋体" w:cs="宋体"/>
                <w:color w:val="auto"/>
                <w:kern w:val="0"/>
                <w:sz w:val="24"/>
                <w:highlight w:val="none"/>
              </w:rPr>
              <w:t>1</w:t>
            </w:r>
          </w:p>
        </w:tc>
        <w:tc>
          <w:tcPr>
            <w:tcW w:w="2655"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70090AEA">
            <w:pPr>
              <w:widowControl/>
              <w:spacing w:line="360" w:lineRule="auto"/>
              <w:jc w:val="center"/>
              <w:rPr>
                <w:rFonts w:ascii="宋体" w:hAnsi="宋体" w:cs="宋体"/>
                <w:color w:val="auto"/>
                <w:kern w:val="0"/>
                <w:sz w:val="24"/>
                <w:highlight w:val="none"/>
              </w:rPr>
            </w:pPr>
          </w:p>
        </w:tc>
        <w:tc>
          <w:tcPr>
            <w:tcW w:w="1455"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51F2FE5E">
            <w:pPr>
              <w:widowControl/>
              <w:spacing w:line="360" w:lineRule="auto"/>
              <w:jc w:val="center"/>
              <w:rPr>
                <w:rFonts w:ascii="宋体" w:hAnsi="宋体" w:cs="宋体"/>
                <w:color w:val="auto"/>
                <w:kern w:val="0"/>
                <w:sz w:val="24"/>
                <w:highlight w:val="none"/>
              </w:rPr>
            </w:pPr>
          </w:p>
        </w:tc>
        <w:tc>
          <w:tcPr>
            <w:tcW w:w="4287"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4577446B">
            <w:pPr>
              <w:widowControl/>
              <w:spacing w:line="360" w:lineRule="auto"/>
              <w:jc w:val="center"/>
              <w:rPr>
                <w:rFonts w:ascii="宋体" w:hAnsi="宋体" w:cs="宋体"/>
                <w:color w:val="auto"/>
                <w:kern w:val="0"/>
                <w:sz w:val="24"/>
                <w:highlight w:val="none"/>
              </w:rPr>
            </w:pPr>
          </w:p>
        </w:tc>
        <w:tc>
          <w:tcPr>
            <w:tcW w:w="870"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363B899D">
            <w:pPr>
              <w:widowControl/>
              <w:spacing w:line="360" w:lineRule="auto"/>
              <w:jc w:val="center"/>
              <w:rPr>
                <w:rFonts w:ascii="宋体" w:hAnsi="宋体" w:cs="宋体"/>
                <w:color w:val="auto"/>
                <w:kern w:val="0"/>
                <w:sz w:val="24"/>
                <w:highlight w:val="none"/>
              </w:rPr>
            </w:pPr>
          </w:p>
        </w:tc>
      </w:tr>
      <w:tr w14:paraId="6985323F">
        <w:tblPrEx>
          <w:tblCellMar>
            <w:top w:w="0" w:type="dxa"/>
            <w:left w:w="0" w:type="dxa"/>
            <w:bottom w:w="0" w:type="dxa"/>
            <w:right w:w="0" w:type="dxa"/>
          </w:tblCellMar>
        </w:tblPrEx>
        <w:trPr>
          <w:jc w:val="center"/>
        </w:trPr>
        <w:tc>
          <w:tcPr>
            <w:tcW w:w="880"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04C146DC">
            <w:pPr>
              <w:widowControl/>
              <w:spacing w:line="360" w:lineRule="auto"/>
              <w:jc w:val="center"/>
              <w:rPr>
                <w:rFonts w:ascii="宋体" w:hAnsi="宋体" w:cs="宋体"/>
                <w:color w:val="auto"/>
                <w:kern w:val="0"/>
                <w:sz w:val="24"/>
                <w:highlight w:val="none"/>
              </w:rPr>
            </w:pPr>
            <w:r>
              <w:rPr>
                <w:rFonts w:hint="eastAsia" w:ascii="宋体" w:hAnsi="宋体" w:cs="宋体"/>
                <w:color w:val="auto"/>
                <w:kern w:val="0"/>
                <w:sz w:val="24"/>
                <w:highlight w:val="none"/>
              </w:rPr>
              <w:t>2</w:t>
            </w:r>
          </w:p>
        </w:tc>
        <w:tc>
          <w:tcPr>
            <w:tcW w:w="2655"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122E21DA">
            <w:pPr>
              <w:widowControl/>
              <w:spacing w:line="360" w:lineRule="auto"/>
              <w:jc w:val="center"/>
              <w:rPr>
                <w:rFonts w:ascii="宋体" w:hAnsi="宋体" w:cs="宋体"/>
                <w:color w:val="auto"/>
                <w:kern w:val="0"/>
                <w:sz w:val="24"/>
                <w:highlight w:val="none"/>
              </w:rPr>
            </w:pPr>
          </w:p>
        </w:tc>
        <w:tc>
          <w:tcPr>
            <w:tcW w:w="1455"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184E09E8">
            <w:pPr>
              <w:widowControl/>
              <w:spacing w:line="360" w:lineRule="auto"/>
              <w:jc w:val="center"/>
              <w:rPr>
                <w:rFonts w:ascii="宋体" w:hAnsi="宋体" w:cs="宋体"/>
                <w:color w:val="auto"/>
                <w:kern w:val="0"/>
                <w:sz w:val="24"/>
                <w:highlight w:val="none"/>
              </w:rPr>
            </w:pPr>
          </w:p>
        </w:tc>
        <w:tc>
          <w:tcPr>
            <w:tcW w:w="4287"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173F9BAD">
            <w:pPr>
              <w:widowControl/>
              <w:spacing w:line="360" w:lineRule="auto"/>
              <w:jc w:val="center"/>
              <w:rPr>
                <w:rFonts w:ascii="宋体" w:hAnsi="宋体" w:cs="宋体"/>
                <w:color w:val="auto"/>
                <w:kern w:val="0"/>
                <w:sz w:val="24"/>
                <w:highlight w:val="none"/>
              </w:rPr>
            </w:pPr>
          </w:p>
        </w:tc>
        <w:tc>
          <w:tcPr>
            <w:tcW w:w="870"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582D1960">
            <w:pPr>
              <w:widowControl/>
              <w:spacing w:line="360" w:lineRule="auto"/>
              <w:jc w:val="center"/>
              <w:rPr>
                <w:rFonts w:ascii="宋体" w:hAnsi="宋体" w:cs="宋体"/>
                <w:color w:val="auto"/>
                <w:kern w:val="0"/>
                <w:sz w:val="24"/>
                <w:highlight w:val="none"/>
              </w:rPr>
            </w:pPr>
          </w:p>
        </w:tc>
      </w:tr>
      <w:tr w14:paraId="027A4C0B">
        <w:tblPrEx>
          <w:tblCellMar>
            <w:top w:w="0" w:type="dxa"/>
            <w:left w:w="0" w:type="dxa"/>
            <w:bottom w:w="0" w:type="dxa"/>
            <w:right w:w="0" w:type="dxa"/>
          </w:tblCellMar>
        </w:tblPrEx>
        <w:trPr>
          <w:jc w:val="center"/>
        </w:trPr>
        <w:tc>
          <w:tcPr>
            <w:tcW w:w="880"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3055F3D7">
            <w:pPr>
              <w:widowControl/>
              <w:spacing w:line="360" w:lineRule="auto"/>
              <w:jc w:val="center"/>
              <w:rPr>
                <w:rFonts w:ascii="宋体" w:hAnsi="宋体" w:cs="宋体"/>
                <w:color w:val="auto"/>
                <w:kern w:val="0"/>
                <w:sz w:val="24"/>
                <w:highlight w:val="none"/>
              </w:rPr>
            </w:pPr>
            <w:r>
              <w:rPr>
                <w:rFonts w:hint="eastAsia" w:ascii="宋体" w:hAnsi="宋体" w:cs="宋体"/>
                <w:color w:val="auto"/>
                <w:kern w:val="0"/>
                <w:sz w:val="24"/>
                <w:highlight w:val="none"/>
              </w:rPr>
              <w:t>3</w:t>
            </w:r>
          </w:p>
        </w:tc>
        <w:tc>
          <w:tcPr>
            <w:tcW w:w="2655"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2219E297">
            <w:pPr>
              <w:widowControl/>
              <w:spacing w:line="360" w:lineRule="auto"/>
              <w:jc w:val="center"/>
              <w:rPr>
                <w:rFonts w:ascii="宋体" w:hAnsi="宋体" w:cs="宋体"/>
                <w:color w:val="auto"/>
                <w:kern w:val="0"/>
                <w:sz w:val="24"/>
                <w:highlight w:val="none"/>
              </w:rPr>
            </w:pPr>
          </w:p>
        </w:tc>
        <w:tc>
          <w:tcPr>
            <w:tcW w:w="1455"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5B6F08CF">
            <w:pPr>
              <w:widowControl/>
              <w:spacing w:line="360" w:lineRule="auto"/>
              <w:jc w:val="center"/>
              <w:rPr>
                <w:rFonts w:ascii="宋体" w:hAnsi="宋体" w:cs="宋体"/>
                <w:color w:val="auto"/>
                <w:kern w:val="0"/>
                <w:sz w:val="24"/>
                <w:highlight w:val="none"/>
              </w:rPr>
            </w:pPr>
          </w:p>
        </w:tc>
        <w:tc>
          <w:tcPr>
            <w:tcW w:w="4287"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56BA60DC">
            <w:pPr>
              <w:widowControl/>
              <w:spacing w:line="360" w:lineRule="auto"/>
              <w:jc w:val="center"/>
              <w:rPr>
                <w:rFonts w:ascii="宋体" w:hAnsi="宋体" w:cs="宋体"/>
                <w:color w:val="auto"/>
                <w:kern w:val="0"/>
                <w:sz w:val="24"/>
                <w:highlight w:val="none"/>
              </w:rPr>
            </w:pPr>
          </w:p>
        </w:tc>
        <w:tc>
          <w:tcPr>
            <w:tcW w:w="870"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1ECFBF91">
            <w:pPr>
              <w:widowControl/>
              <w:spacing w:line="360" w:lineRule="auto"/>
              <w:jc w:val="center"/>
              <w:rPr>
                <w:rFonts w:ascii="宋体" w:hAnsi="宋体" w:cs="宋体"/>
                <w:color w:val="auto"/>
                <w:kern w:val="0"/>
                <w:sz w:val="24"/>
                <w:highlight w:val="none"/>
              </w:rPr>
            </w:pPr>
          </w:p>
        </w:tc>
      </w:tr>
      <w:tr w14:paraId="25D36086">
        <w:tblPrEx>
          <w:tblCellMar>
            <w:top w:w="0" w:type="dxa"/>
            <w:left w:w="0" w:type="dxa"/>
            <w:bottom w:w="0" w:type="dxa"/>
            <w:right w:w="0" w:type="dxa"/>
          </w:tblCellMar>
        </w:tblPrEx>
        <w:trPr>
          <w:jc w:val="center"/>
        </w:trPr>
        <w:tc>
          <w:tcPr>
            <w:tcW w:w="880"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305BF8F6">
            <w:pPr>
              <w:widowControl/>
              <w:spacing w:line="360" w:lineRule="auto"/>
              <w:jc w:val="center"/>
              <w:rPr>
                <w:rFonts w:ascii="宋体" w:hAnsi="宋体" w:cs="宋体"/>
                <w:color w:val="auto"/>
                <w:kern w:val="0"/>
                <w:sz w:val="24"/>
                <w:highlight w:val="none"/>
              </w:rPr>
            </w:pPr>
            <w:r>
              <w:rPr>
                <w:rFonts w:hint="eastAsia" w:ascii="宋体" w:hAnsi="宋体" w:cs="宋体"/>
                <w:color w:val="auto"/>
                <w:kern w:val="0"/>
                <w:sz w:val="24"/>
                <w:highlight w:val="none"/>
              </w:rPr>
              <w:t>……</w:t>
            </w:r>
          </w:p>
        </w:tc>
        <w:tc>
          <w:tcPr>
            <w:tcW w:w="2655"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00631929">
            <w:pPr>
              <w:widowControl/>
              <w:spacing w:line="360" w:lineRule="auto"/>
              <w:jc w:val="center"/>
              <w:rPr>
                <w:rFonts w:ascii="宋体" w:hAnsi="宋体" w:cs="宋体"/>
                <w:color w:val="auto"/>
                <w:kern w:val="0"/>
                <w:sz w:val="24"/>
                <w:highlight w:val="none"/>
              </w:rPr>
            </w:pPr>
          </w:p>
        </w:tc>
        <w:tc>
          <w:tcPr>
            <w:tcW w:w="1455"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7BCAA064">
            <w:pPr>
              <w:widowControl/>
              <w:spacing w:line="360" w:lineRule="auto"/>
              <w:jc w:val="center"/>
              <w:rPr>
                <w:rFonts w:ascii="宋体" w:hAnsi="宋体" w:cs="宋体"/>
                <w:color w:val="auto"/>
                <w:kern w:val="0"/>
                <w:sz w:val="24"/>
                <w:highlight w:val="none"/>
              </w:rPr>
            </w:pPr>
          </w:p>
        </w:tc>
        <w:tc>
          <w:tcPr>
            <w:tcW w:w="4287"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187F8467">
            <w:pPr>
              <w:widowControl/>
              <w:spacing w:line="360" w:lineRule="auto"/>
              <w:jc w:val="center"/>
              <w:rPr>
                <w:rFonts w:ascii="宋体" w:hAnsi="宋体" w:cs="宋体"/>
                <w:color w:val="auto"/>
                <w:kern w:val="0"/>
                <w:sz w:val="24"/>
                <w:highlight w:val="none"/>
              </w:rPr>
            </w:pPr>
          </w:p>
        </w:tc>
        <w:tc>
          <w:tcPr>
            <w:tcW w:w="870"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5D6DDE17">
            <w:pPr>
              <w:widowControl/>
              <w:spacing w:line="360" w:lineRule="auto"/>
              <w:jc w:val="center"/>
              <w:rPr>
                <w:rFonts w:ascii="宋体" w:hAnsi="宋体" w:cs="宋体"/>
                <w:color w:val="auto"/>
                <w:kern w:val="0"/>
                <w:sz w:val="24"/>
                <w:highlight w:val="none"/>
              </w:rPr>
            </w:pPr>
          </w:p>
        </w:tc>
      </w:tr>
    </w:tbl>
    <w:p w14:paraId="24AADF1C">
      <w:pPr>
        <w:snapToGrid w:val="0"/>
        <w:spacing w:line="360" w:lineRule="auto"/>
        <w:jc w:val="left"/>
        <w:rPr>
          <w:rFonts w:ascii="宋体" w:hAnsi="宋体" w:cs="宋体"/>
          <w:color w:val="auto"/>
          <w:sz w:val="24"/>
          <w:highlight w:val="none"/>
        </w:rPr>
      </w:pPr>
      <w:r>
        <w:rPr>
          <w:rFonts w:hint="eastAsia" w:ascii="宋体" w:hAnsi="宋体" w:cs="宋体"/>
          <w:color w:val="auto"/>
          <w:sz w:val="24"/>
          <w:highlight w:val="none"/>
        </w:rPr>
        <w:t>注：</w:t>
      </w:r>
    </w:p>
    <w:p w14:paraId="4AF21DE4">
      <w:pPr>
        <w:snapToGrid w:val="0"/>
        <w:spacing w:line="360" w:lineRule="auto"/>
        <w:ind w:firstLine="480" w:firstLineChars="200"/>
        <w:jc w:val="left"/>
        <w:rPr>
          <w:rFonts w:ascii="宋体" w:hAnsi="宋体" w:cs="宋体"/>
          <w:color w:val="auto"/>
          <w:sz w:val="24"/>
          <w:highlight w:val="none"/>
        </w:rPr>
      </w:pPr>
      <w:r>
        <w:rPr>
          <w:rFonts w:hint="eastAsia" w:ascii="宋体" w:hAnsi="宋体" w:cs="宋体"/>
          <w:color w:val="auto"/>
          <w:sz w:val="24"/>
          <w:highlight w:val="none"/>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73F28298">
      <w:pPr>
        <w:snapToGrid w:val="0"/>
        <w:spacing w:line="360" w:lineRule="auto"/>
        <w:ind w:firstLine="480" w:firstLineChars="200"/>
        <w:jc w:val="left"/>
        <w:rPr>
          <w:rFonts w:ascii="宋体" w:hAnsi="宋体" w:cs="宋体"/>
          <w:color w:val="auto"/>
          <w:sz w:val="24"/>
          <w:highlight w:val="none"/>
        </w:rPr>
      </w:pPr>
      <w:r>
        <w:rPr>
          <w:rFonts w:hint="eastAsia" w:ascii="宋体" w:hAnsi="宋体" w:cs="宋体"/>
          <w:color w:val="auto"/>
          <w:sz w:val="24"/>
          <w:highlight w:val="none"/>
        </w:rPr>
        <w:t>2.本表所指的控股关系仅限于直接控股关系，不包括间接的控股关系。公司实际控制人与公司之间的关系不属于本表所指的直接控股关系。</w:t>
      </w:r>
    </w:p>
    <w:p w14:paraId="7EB01FBD">
      <w:pPr>
        <w:snapToGrid w:val="0"/>
        <w:spacing w:line="360" w:lineRule="auto"/>
        <w:ind w:firstLine="480" w:firstLineChars="200"/>
        <w:jc w:val="left"/>
        <w:rPr>
          <w:rFonts w:ascii="宋体" w:hAnsi="宋体" w:cs="宋体"/>
          <w:color w:val="auto"/>
          <w:sz w:val="24"/>
          <w:highlight w:val="none"/>
        </w:rPr>
      </w:pPr>
      <w:r>
        <w:rPr>
          <w:rFonts w:hint="eastAsia" w:ascii="宋体" w:hAnsi="宋体" w:cs="宋体"/>
          <w:color w:val="auto"/>
          <w:sz w:val="24"/>
          <w:highlight w:val="none"/>
        </w:rPr>
        <w:t>3.供应商不存在直接控股股东的，则填“无”。</w:t>
      </w:r>
    </w:p>
    <w:p w14:paraId="2AE907D4">
      <w:pPr>
        <w:snapToGrid w:val="0"/>
        <w:spacing w:line="360" w:lineRule="auto"/>
        <w:jc w:val="left"/>
        <w:rPr>
          <w:rFonts w:ascii="宋体" w:hAnsi="宋体" w:cs="宋体"/>
          <w:color w:val="auto"/>
          <w:sz w:val="24"/>
          <w:highlight w:val="none"/>
        </w:rPr>
      </w:pPr>
    </w:p>
    <w:p w14:paraId="486AE453">
      <w:pPr>
        <w:snapToGrid w:val="0"/>
        <w:spacing w:line="360" w:lineRule="auto"/>
        <w:jc w:val="left"/>
        <w:rPr>
          <w:rFonts w:ascii="宋体" w:hAnsi="宋体" w:cs="宋体"/>
          <w:color w:val="auto"/>
          <w:sz w:val="24"/>
          <w:highlight w:val="none"/>
        </w:rPr>
      </w:pPr>
    </w:p>
    <w:p w14:paraId="0430C179">
      <w:pPr>
        <w:snapToGrid w:val="0"/>
        <w:spacing w:line="360" w:lineRule="auto"/>
        <w:jc w:val="left"/>
        <w:rPr>
          <w:rFonts w:ascii="宋体" w:hAnsi="宋体" w:cs="宋体"/>
          <w:color w:val="auto"/>
          <w:sz w:val="24"/>
          <w:highlight w:val="none"/>
        </w:rPr>
      </w:pPr>
    </w:p>
    <w:p w14:paraId="51D6D873">
      <w:pPr>
        <w:snapToGrid w:val="0"/>
        <w:spacing w:before="156" w:beforeLines="50" w:line="360" w:lineRule="auto"/>
        <w:ind w:right="480" w:firstLine="1920" w:firstLineChars="800"/>
        <w:rPr>
          <w:rFonts w:ascii="宋体" w:hAnsi="宋体" w:cs="宋体"/>
          <w:color w:val="auto"/>
          <w:sz w:val="24"/>
          <w:highlight w:val="none"/>
          <w:u w:val="single"/>
        </w:rPr>
      </w:pPr>
      <w:r>
        <w:rPr>
          <w:rFonts w:hint="eastAsia" w:ascii="宋体" w:hAnsi="宋体" w:cs="宋体"/>
          <w:color w:val="auto"/>
          <w:sz w:val="24"/>
          <w:highlight w:val="none"/>
        </w:rPr>
        <w:t>法定代表人或者委托代理人签字：</w:t>
      </w:r>
      <w:r>
        <w:rPr>
          <w:rFonts w:hint="eastAsia" w:ascii="宋体" w:hAnsi="宋体" w:cs="宋体"/>
          <w:color w:val="auto"/>
          <w:sz w:val="24"/>
          <w:highlight w:val="none"/>
          <w:u w:val="single"/>
        </w:rPr>
        <w:t xml:space="preserve">                </w:t>
      </w:r>
    </w:p>
    <w:p w14:paraId="51A120B7">
      <w:pPr>
        <w:snapToGrid w:val="0"/>
        <w:spacing w:before="156" w:beforeLines="50" w:after="50" w:line="360" w:lineRule="auto"/>
        <w:ind w:right="480" w:firstLine="3000" w:firstLineChars="1250"/>
        <w:rPr>
          <w:rFonts w:ascii="宋体" w:hAnsi="宋体" w:cs="宋体"/>
          <w:color w:val="auto"/>
          <w:sz w:val="24"/>
          <w:highlight w:val="none"/>
          <w:u w:val="single"/>
        </w:rPr>
      </w:pPr>
      <w:r>
        <w:rPr>
          <w:rFonts w:hint="eastAsia" w:ascii="宋体" w:hAnsi="宋体" w:cs="宋体"/>
          <w:color w:val="auto"/>
          <w:sz w:val="24"/>
          <w:highlight w:val="none"/>
        </w:rPr>
        <w:t>供应商（盖公章 ）：</w:t>
      </w:r>
      <w:r>
        <w:rPr>
          <w:rFonts w:hint="eastAsia" w:ascii="宋体" w:hAnsi="宋体" w:cs="宋体"/>
          <w:color w:val="auto"/>
          <w:sz w:val="24"/>
          <w:highlight w:val="none"/>
          <w:u w:val="single"/>
        </w:rPr>
        <w:t xml:space="preserve">                              </w:t>
      </w:r>
    </w:p>
    <w:p w14:paraId="20CA8822">
      <w:pPr>
        <w:snapToGrid w:val="0"/>
        <w:spacing w:before="156" w:beforeLines="50" w:after="50" w:line="360" w:lineRule="auto"/>
        <w:ind w:right="480" w:firstLine="5280" w:firstLineChars="2200"/>
        <w:rPr>
          <w:rFonts w:ascii="宋体" w:hAnsi="宋体" w:cs="宋体"/>
          <w:color w:val="auto"/>
          <w:sz w:val="28"/>
          <w:szCs w:val="28"/>
          <w:highlight w:val="none"/>
        </w:rPr>
      </w:pPr>
      <w:r>
        <w:rPr>
          <w:rFonts w:hint="eastAsia" w:ascii="宋体" w:hAnsi="宋体" w:cs="宋体"/>
          <w:color w:val="auto"/>
          <w:sz w:val="24"/>
          <w:highlight w:val="none"/>
        </w:rPr>
        <w:t>年    月    日</w:t>
      </w:r>
    </w:p>
    <w:p w14:paraId="13C83FAE">
      <w:pPr>
        <w:snapToGrid w:val="0"/>
        <w:jc w:val="center"/>
        <w:rPr>
          <w:rFonts w:ascii="宋体" w:hAnsi="宋体"/>
          <w:b/>
          <w:color w:val="auto"/>
          <w:sz w:val="28"/>
          <w:szCs w:val="28"/>
          <w:highlight w:val="none"/>
        </w:rPr>
      </w:pPr>
      <w:r>
        <w:rPr>
          <w:rFonts w:ascii="宋体" w:hAnsi="宋体"/>
          <w:b/>
          <w:color w:val="auto"/>
          <w:sz w:val="28"/>
          <w:szCs w:val="28"/>
          <w:highlight w:val="none"/>
        </w:rPr>
        <w:br w:type="page"/>
      </w:r>
    </w:p>
    <w:p w14:paraId="296585A7">
      <w:pPr>
        <w:spacing w:line="320" w:lineRule="exact"/>
        <w:jc w:val="center"/>
        <w:rPr>
          <w:rFonts w:ascii="宋体" w:hAnsi="宋体"/>
          <w:b/>
          <w:color w:val="auto"/>
          <w:sz w:val="32"/>
          <w:szCs w:val="32"/>
          <w:highlight w:val="none"/>
        </w:rPr>
      </w:pPr>
      <w:r>
        <w:rPr>
          <w:rFonts w:hint="eastAsia" w:ascii="宋体" w:hAnsi="宋体"/>
          <w:b/>
          <w:color w:val="auto"/>
          <w:sz w:val="32"/>
          <w:szCs w:val="32"/>
          <w:highlight w:val="none"/>
        </w:rPr>
        <w:t>供应商直接管理关系信息表</w:t>
      </w:r>
    </w:p>
    <w:p w14:paraId="43321791">
      <w:pPr>
        <w:snapToGrid w:val="0"/>
        <w:spacing w:line="360" w:lineRule="auto"/>
        <w:jc w:val="center"/>
        <w:rPr>
          <w:rFonts w:ascii="宋体" w:hAnsi="宋体"/>
          <w:b/>
          <w:color w:val="auto"/>
          <w:sz w:val="24"/>
          <w:highlight w:val="none"/>
        </w:rPr>
      </w:pPr>
    </w:p>
    <w:tbl>
      <w:tblPr>
        <w:tblStyle w:val="31"/>
        <w:tblW w:w="9652" w:type="dxa"/>
        <w:jc w:val="center"/>
        <w:shd w:val="clear" w:color="auto" w:fill="FBFBFB"/>
        <w:tblLayout w:type="fixed"/>
        <w:tblCellMar>
          <w:top w:w="0" w:type="dxa"/>
          <w:left w:w="0" w:type="dxa"/>
          <w:bottom w:w="0" w:type="dxa"/>
          <w:right w:w="0" w:type="dxa"/>
        </w:tblCellMar>
      </w:tblPr>
      <w:tblGrid>
        <w:gridCol w:w="808"/>
        <w:gridCol w:w="3600"/>
        <w:gridCol w:w="3555"/>
        <w:gridCol w:w="1689"/>
      </w:tblGrid>
      <w:tr w14:paraId="1E619838">
        <w:tblPrEx>
          <w:shd w:val="clear" w:color="auto" w:fill="FBFBFB"/>
          <w:tblCellMar>
            <w:top w:w="0" w:type="dxa"/>
            <w:left w:w="0" w:type="dxa"/>
            <w:bottom w:w="0" w:type="dxa"/>
            <w:right w:w="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433D60C1">
            <w:pPr>
              <w:widowControl/>
              <w:spacing w:line="360" w:lineRule="auto"/>
              <w:jc w:val="center"/>
              <w:rPr>
                <w:rFonts w:ascii="宋体" w:hAnsi="宋体" w:cs="宋体"/>
                <w:b/>
                <w:bCs/>
                <w:color w:val="auto"/>
                <w:kern w:val="0"/>
                <w:sz w:val="24"/>
                <w:highlight w:val="none"/>
              </w:rPr>
            </w:pPr>
            <w:r>
              <w:rPr>
                <w:rFonts w:hint="eastAsia" w:ascii="宋体" w:hAnsi="宋体" w:cs="宋体"/>
                <w:b/>
                <w:bCs/>
                <w:color w:val="auto"/>
                <w:kern w:val="0"/>
                <w:sz w:val="24"/>
                <w:highlight w:val="none"/>
              </w:rPr>
              <w:t>序号</w:t>
            </w:r>
          </w:p>
        </w:tc>
        <w:tc>
          <w:tcPr>
            <w:tcW w:w="3600"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257A0E76">
            <w:pPr>
              <w:widowControl/>
              <w:spacing w:line="360" w:lineRule="auto"/>
              <w:jc w:val="center"/>
              <w:rPr>
                <w:rFonts w:ascii="宋体" w:hAnsi="宋体" w:cs="宋体"/>
                <w:b/>
                <w:bCs/>
                <w:color w:val="auto"/>
                <w:kern w:val="0"/>
                <w:sz w:val="24"/>
                <w:highlight w:val="none"/>
              </w:rPr>
            </w:pPr>
            <w:r>
              <w:rPr>
                <w:rFonts w:hint="eastAsia" w:ascii="宋体" w:hAnsi="宋体" w:cs="宋体"/>
                <w:b/>
                <w:bCs/>
                <w:color w:val="auto"/>
                <w:kern w:val="0"/>
                <w:sz w:val="24"/>
                <w:highlight w:val="none"/>
              </w:rPr>
              <w:t>直接管理关系单位名称</w:t>
            </w:r>
          </w:p>
        </w:tc>
        <w:tc>
          <w:tcPr>
            <w:tcW w:w="3555"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6CFE2ADB">
            <w:pPr>
              <w:widowControl/>
              <w:spacing w:line="360" w:lineRule="auto"/>
              <w:jc w:val="center"/>
              <w:rPr>
                <w:rFonts w:ascii="宋体" w:hAnsi="宋体" w:cs="宋体"/>
                <w:b/>
                <w:bCs/>
                <w:color w:val="auto"/>
                <w:kern w:val="0"/>
                <w:sz w:val="24"/>
                <w:highlight w:val="none"/>
              </w:rPr>
            </w:pPr>
            <w:r>
              <w:rPr>
                <w:rFonts w:hint="eastAsia" w:ascii="宋体" w:hAnsi="宋体" w:cs="宋体"/>
                <w:b/>
                <w:bCs/>
                <w:color w:val="auto"/>
                <w:kern w:val="0"/>
                <w:sz w:val="24"/>
                <w:highlight w:val="none"/>
              </w:rPr>
              <w:t>统一社会信用代码</w:t>
            </w:r>
          </w:p>
        </w:tc>
        <w:tc>
          <w:tcPr>
            <w:tcW w:w="1689"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0BA0668B">
            <w:pPr>
              <w:widowControl/>
              <w:spacing w:line="360" w:lineRule="auto"/>
              <w:jc w:val="center"/>
              <w:rPr>
                <w:rFonts w:ascii="宋体" w:hAnsi="宋体" w:cs="宋体"/>
                <w:b/>
                <w:bCs/>
                <w:color w:val="auto"/>
                <w:kern w:val="0"/>
                <w:sz w:val="24"/>
                <w:highlight w:val="none"/>
              </w:rPr>
            </w:pPr>
            <w:r>
              <w:rPr>
                <w:rFonts w:hint="eastAsia" w:ascii="宋体" w:hAnsi="宋体" w:cs="宋体"/>
                <w:b/>
                <w:bCs/>
                <w:color w:val="auto"/>
                <w:kern w:val="0"/>
                <w:sz w:val="24"/>
                <w:highlight w:val="none"/>
              </w:rPr>
              <w:t>备注</w:t>
            </w:r>
          </w:p>
        </w:tc>
      </w:tr>
      <w:tr w14:paraId="5DAD0DCF">
        <w:tblPrEx>
          <w:tblCellMar>
            <w:top w:w="0" w:type="dxa"/>
            <w:left w:w="0" w:type="dxa"/>
            <w:bottom w:w="0" w:type="dxa"/>
            <w:right w:w="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201D9B09">
            <w:pPr>
              <w:widowControl/>
              <w:spacing w:line="360" w:lineRule="auto"/>
              <w:jc w:val="center"/>
              <w:rPr>
                <w:rFonts w:ascii="宋体" w:hAnsi="宋体" w:cs="宋体"/>
                <w:color w:val="auto"/>
                <w:kern w:val="0"/>
                <w:sz w:val="24"/>
                <w:highlight w:val="none"/>
              </w:rPr>
            </w:pPr>
            <w:r>
              <w:rPr>
                <w:rFonts w:hint="eastAsia" w:ascii="宋体" w:hAnsi="宋体" w:cs="宋体"/>
                <w:color w:val="auto"/>
                <w:kern w:val="0"/>
                <w:sz w:val="24"/>
                <w:highlight w:val="none"/>
              </w:rPr>
              <w:t>1</w:t>
            </w:r>
          </w:p>
        </w:tc>
        <w:tc>
          <w:tcPr>
            <w:tcW w:w="3600"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4B32D1E1">
            <w:pPr>
              <w:widowControl/>
              <w:spacing w:line="360" w:lineRule="auto"/>
              <w:jc w:val="center"/>
              <w:rPr>
                <w:rFonts w:ascii="宋体" w:hAnsi="宋体" w:cs="宋体"/>
                <w:color w:val="auto"/>
                <w:kern w:val="0"/>
                <w:sz w:val="24"/>
                <w:highlight w:val="none"/>
              </w:rPr>
            </w:pPr>
          </w:p>
        </w:tc>
        <w:tc>
          <w:tcPr>
            <w:tcW w:w="3555"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4454C2A0">
            <w:pPr>
              <w:widowControl/>
              <w:spacing w:line="360" w:lineRule="auto"/>
              <w:jc w:val="center"/>
              <w:rPr>
                <w:rFonts w:ascii="宋体" w:hAnsi="宋体" w:cs="宋体"/>
                <w:color w:val="auto"/>
                <w:kern w:val="0"/>
                <w:sz w:val="24"/>
                <w:highlight w:val="none"/>
              </w:rPr>
            </w:pPr>
          </w:p>
        </w:tc>
        <w:tc>
          <w:tcPr>
            <w:tcW w:w="1689"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31C17AC5">
            <w:pPr>
              <w:widowControl/>
              <w:spacing w:line="360" w:lineRule="auto"/>
              <w:jc w:val="center"/>
              <w:rPr>
                <w:rFonts w:ascii="宋体" w:hAnsi="宋体" w:cs="宋体"/>
                <w:color w:val="auto"/>
                <w:kern w:val="0"/>
                <w:sz w:val="24"/>
                <w:highlight w:val="none"/>
              </w:rPr>
            </w:pPr>
          </w:p>
        </w:tc>
      </w:tr>
      <w:tr w14:paraId="271E8110">
        <w:tblPrEx>
          <w:tblCellMar>
            <w:top w:w="0" w:type="dxa"/>
            <w:left w:w="0" w:type="dxa"/>
            <w:bottom w:w="0" w:type="dxa"/>
            <w:right w:w="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47CA8DE9">
            <w:pPr>
              <w:widowControl/>
              <w:spacing w:line="360" w:lineRule="auto"/>
              <w:jc w:val="center"/>
              <w:rPr>
                <w:rFonts w:ascii="宋体" w:hAnsi="宋体" w:cs="宋体"/>
                <w:color w:val="auto"/>
                <w:kern w:val="0"/>
                <w:sz w:val="24"/>
                <w:highlight w:val="none"/>
              </w:rPr>
            </w:pPr>
            <w:r>
              <w:rPr>
                <w:rFonts w:hint="eastAsia" w:ascii="宋体" w:hAnsi="宋体" w:cs="宋体"/>
                <w:color w:val="auto"/>
                <w:kern w:val="0"/>
                <w:sz w:val="24"/>
                <w:highlight w:val="none"/>
              </w:rPr>
              <w:t>2</w:t>
            </w:r>
          </w:p>
        </w:tc>
        <w:tc>
          <w:tcPr>
            <w:tcW w:w="3600"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77E89F71">
            <w:pPr>
              <w:widowControl/>
              <w:spacing w:line="360" w:lineRule="auto"/>
              <w:jc w:val="center"/>
              <w:rPr>
                <w:rFonts w:ascii="宋体" w:hAnsi="宋体" w:cs="宋体"/>
                <w:color w:val="auto"/>
                <w:kern w:val="0"/>
                <w:sz w:val="24"/>
                <w:highlight w:val="none"/>
              </w:rPr>
            </w:pPr>
          </w:p>
        </w:tc>
        <w:tc>
          <w:tcPr>
            <w:tcW w:w="3555"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1408F930">
            <w:pPr>
              <w:widowControl/>
              <w:spacing w:line="360" w:lineRule="auto"/>
              <w:jc w:val="center"/>
              <w:rPr>
                <w:rFonts w:ascii="宋体" w:hAnsi="宋体" w:cs="宋体"/>
                <w:color w:val="auto"/>
                <w:kern w:val="0"/>
                <w:sz w:val="24"/>
                <w:highlight w:val="none"/>
              </w:rPr>
            </w:pPr>
          </w:p>
        </w:tc>
        <w:tc>
          <w:tcPr>
            <w:tcW w:w="1689"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1A2A49FB">
            <w:pPr>
              <w:widowControl/>
              <w:spacing w:line="360" w:lineRule="auto"/>
              <w:jc w:val="center"/>
              <w:rPr>
                <w:rFonts w:ascii="宋体" w:hAnsi="宋体" w:cs="宋体"/>
                <w:color w:val="auto"/>
                <w:kern w:val="0"/>
                <w:sz w:val="24"/>
                <w:highlight w:val="none"/>
              </w:rPr>
            </w:pPr>
          </w:p>
        </w:tc>
      </w:tr>
      <w:tr w14:paraId="6450C33D">
        <w:tblPrEx>
          <w:tblCellMar>
            <w:top w:w="0" w:type="dxa"/>
            <w:left w:w="0" w:type="dxa"/>
            <w:bottom w:w="0" w:type="dxa"/>
            <w:right w:w="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2731B04F">
            <w:pPr>
              <w:widowControl/>
              <w:spacing w:line="360" w:lineRule="auto"/>
              <w:jc w:val="center"/>
              <w:rPr>
                <w:rFonts w:ascii="宋体" w:hAnsi="宋体" w:cs="宋体"/>
                <w:color w:val="auto"/>
                <w:kern w:val="0"/>
                <w:sz w:val="24"/>
                <w:highlight w:val="none"/>
              </w:rPr>
            </w:pPr>
            <w:r>
              <w:rPr>
                <w:rFonts w:hint="eastAsia" w:ascii="宋体" w:hAnsi="宋体" w:cs="宋体"/>
                <w:color w:val="auto"/>
                <w:kern w:val="0"/>
                <w:sz w:val="24"/>
                <w:highlight w:val="none"/>
              </w:rPr>
              <w:t>3</w:t>
            </w:r>
          </w:p>
        </w:tc>
        <w:tc>
          <w:tcPr>
            <w:tcW w:w="3600"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2D88D97D">
            <w:pPr>
              <w:widowControl/>
              <w:spacing w:line="360" w:lineRule="auto"/>
              <w:jc w:val="center"/>
              <w:rPr>
                <w:rFonts w:ascii="宋体" w:hAnsi="宋体" w:cs="宋体"/>
                <w:color w:val="auto"/>
                <w:kern w:val="0"/>
                <w:sz w:val="24"/>
                <w:highlight w:val="none"/>
              </w:rPr>
            </w:pPr>
          </w:p>
        </w:tc>
        <w:tc>
          <w:tcPr>
            <w:tcW w:w="3555"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351BE722">
            <w:pPr>
              <w:widowControl/>
              <w:spacing w:line="360" w:lineRule="auto"/>
              <w:jc w:val="center"/>
              <w:rPr>
                <w:rFonts w:ascii="宋体" w:hAnsi="宋体" w:cs="宋体"/>
                <w:color w:val="auto"/>
                <w:kern w:val="0"/>
                <w:sz w:val="24"/>
                <w:highlight w:val="none"/>
              </w:rPr>
            </w:pPr>
          </w:p>
        </w:tc>
        <w:tc>
          <w:tcPr>
            <w:tcW w:w="1689"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4DBA5140">
            <w:pPr>
              <w:widowControl/>
              <w:spacing w:line="360" w:lineRule="auto"/>
              <w:jc w:val="center"/>
              <w:rPr>
                <w:rFonts w:ascii="宋体" w:hAnsi="宋体" w:cs="宋体"/>
                <w:color w:val="auto"/>
                <w:kern w:val="0"/>
                <w:sz w:val="24"/>
                <w:highlight w:val="none"/>
              </w:rPr>
            </w:pPr>
          </w:p>
        </w:tc>
      </w:tr>
      <w:tr w14:paraId="6974FD3C">
        <w:tblPrEx>
          <w:tblCellMar>
            <w:top w:w="0" w:type="dxa"/>
            <w:left w:w="0" w:type="dxa"/>
            <w:bottom w:w="0" w:type="dxa"/>
            <w:right w:w="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0916697E">
            <w:pPr>
              <w:widowControl/>
              <w:spacing w:line="360" w:lineRule="auto"/>
              <w:jc w:val="center"/>
              <w:rPr>
                <w:rFonts w:ascii="宋体" w:hAnsi="宋体" w:cs="宋体"/>
                <w:color w:val="auto"/>
                <w:kern w:val="0"/>
                <w:sz w:val="24"/>
                <w:highlight w:val="none"/>
              </w:rPr>
            </w:pPr>
            <w:r>
              <w:rPr>
                <w:rFonts w:hint="eastAsia" w:ascii="宋体" w:hAnsi="宋体" w:cs="宋体"/>
                <w:color w:val="auto"/>
                <w:kern w:val="0"/>
                <w:sz w:val="24"/>
                <w:highlight w:val="none"/>
              </w:rPr>
              <w:t>……</w:t>
            </w:r>
          </w:p>
        </w:tc>
        <w:tc>
          <w:tcPr>
            <w:tcW w:w="3600"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5EFBF504">
            <w:pPr>
              <w:widowControl/>
              <w:spacing w:line="360" w:lineRule="auto"/>
              <w:jc w:val="center"/>
              <w:rPr>
                <w:rFonts w:ascii="宋体" w:hAnsi="宋体" w:cs="宋体"/>
                <w:color w:val="auto"/>
                <w:kern w:val="0"/>
                <w:sz w:val="24"/>
                <w:highlight w:val="none"/>
              </w:rPr>
            </w:pPr>
          </w:p>
        </w:tc>
        <w:tc>
          <w:tcPr>
            <w:tcW w:w="3555"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184CB069">
            <w:pPr>
              <w:widowControl/>
              <w:spacing w:line="360" w:lineRule="auto"/>
              <w:jc w:val="center"/>
              <w:rPr>
                <w:rFonts w:ascii="宋体" w:hAnsi="宋体" w:cs="宋体"/>
                <w:color w:val="auto"/>
                <w:kern w:val="0"/>
                <w:sz w:val="24"/>
                <w:highlight w:val="none"/>
              </w:rPr>
            </w:pPr>
          </w:p>
        </w:tc>
        <w:tc>
          <w:tcPr>
            <w:tcW w:w="1689" w:type="dxa"/>
            <w:tcBorders>
              <w:top w:val="single" w:color="auto" w:sz="4" w:space="0"/>
              <w:left w:val="single" w:color="auto" w:sz="4" w:space="0"/>
              <w:bottom w:val="single" w:color="auto" w:sz="4" w:space="0"/>
              <w:right w:val="single" w:color="auto" w:sz="4" w:space="0"/>
            </w:tcBorders>
            <w:shd w:val="clear" w:color="auto" w:fill="auto"/>
            <w:tcMar>
              <w:top w:w="120" w:type="dxa"/>
              <w:left w:w="120" w:type="dxa"/>
              <w:bottom w:w="120" w:type="dxa"/>
              <w:right w:w="120" w:type="dxa"/>
            </w:tcMar>
            <w:vAlign w:val="center"/>
          </w:tcPr>
          <w:p w14:paraId="791EBFDC">
            <w:pPr>
              <w:widowControl/>
              <w:spacing w:line="360" w:lineRule="auto"/>
              <w:jc w:val="center"/>
              <w:rPr>
                <w:rFonts w:ascii="宋体" w:hAnsi="宋体" w:cs="宋体"/>
                <w:color w:val="auto"/>
                <w:kern w:val="0"/>
                <w:sz w:val="24"/>
                <w:highlight w:val="none"/>
              </w:rPr>
            </w:pPr>
          </w:p>
        </w:tc>
      </w:tr>
    </w:tbl>
    <w:p w14:paraId="66486C7A">
      <w:pPr>
        <w:snapToGrid w:val="0"/>
        <w:spacing w:line="360" w:lineRule="auto"/>
        <w:jc w:val="left"/>
        <w:rPr>
          <w:rFonts w:ascii="宋体" w:hAnsi="宋体"/>
          <w:color w:val="auto"/>
          <w:sz w:val="24"/>
          <w:highlight w:val="none"/>
        </w:rPr>
      </w:pPr>
      <w:r>
        <w:rPr>
          <w:rFonts w:hint="eastAsia" w:ascii="宋体" w:hAnsi="宋体"/>
          <w:color w:val="auto"/>
          <w:sz w:val="24"/>
          <w:highlight w:val="none"/>
        </w:rPr>
        <w:t>注：</w:t>
      </w:r>
    </w:p>
    <w:p w14:paraId="36F6BD08">
      <w:pPr>
        <w:snapToGrid w:val="0"/>
        <w:spacing w:line="360" w:lineRule="auto"/>
        <w:ind w:firstLine="480" w:firstLineChars="200"/>
        <w:jc w:val="left"/>
        <w:rPr>
          <w:rFonts w:ascii="宋体" w:hAnsi="宋体"/>
          <w:color w:val="auto"/>
          <w:sz w:val="24"/>
          <w:highlight w:val="none"/>
        </w:rPr>
      </w:pPr>
      <w:r>
        <w:rPr>
          <w:rFonts w:hint="eastAsia" w:ascii="宋体" w:hAnsi="宋体"/>
          <w:color w:val="auto"/>
          <w:sz w:val="24"/>
          <w:highlight w:val="none"/>
        </w:rPr>
        <w:t>1.管理关系：是指不具有出资持股关系的其他单位之间存在的管理与被管理关系，如一些上下级关系的事业单位和团体组织。</w:t>
      </w:r>
    </w:p>
    <w:p w14:paraId="07677D64">
      <w:pPr>
        <w:snapToGrid w:val="0"/>
        <w:spacing w:line="360" w:lineRule="auto"/>
        <w:ind w:firstLine="480" w:firstLineChars="200"/>
        <w:jc w:val="left"/>
        <w:rPr>
          <w:rFonts w:ascii="宋体" w:hAnsi="宋体"/>
          <w:color w:val="auto"/>
          <w:sz w:val="24"/>
          <w:highlight w:val="none"/>
        </w:rPr>
      </w:pPr>
      <w:r>
        <w:rPr>
          <w:rFonts w:hint="eastAsia" w:ascii="宋体" w:hAnsi="宋体"/>
          <w:color w:val="auto"/>
          <w:sz w:val="24"/>
          <w:highlight w:val="none"/>
        </w:rPr>
        <w:t>2.</w:t>
      </w:r>
      <w:r>
        <w:rPr>
          <w:rFonts w:hint="eastAsia" w:ascii="宋体" w:hAnsi="宋体"/>
          <w:color w:val="auto"/>
          <w:spacing w:val="-6"/>
          <w:sz w:val="24"/>
          <w:highlight w:val="none"/>
        </w:rPr>
        <w:t>本表所指的管理关系仅限于直接管理关系，不包括间接的管理关系。</w:t>
      </w:r>
    </w:p>
    <w:p w14:paraId="30D216C3">
      <w:pPr>
        <w:snapToGrid w:val="0"/>
        <w:spacing w:line="360" w:lineRule="auto"/>
        <w:ind w:firstLine="480" w:firstLineChars="200"/>
        <w:jc w:val="left"/>
        <w:rPr>
          <w:rFonts w:ascii="宋体" w:hAnsi="宋体"/>
          <w:color w:val="auto"/>
          <w:sz w:val="24"/>
          <w:highlight w:val="none"/>
        </w:rPr>
      </w:pPr>
      <w:r>
        <w:rPr>
          <w:rFonts w:hint="eastAsia" w:ascii="宋体" w:hAnsi="宋体"/>
          <w:color w:val="auto"/>
          <w:sz w:val="24"/>
          <w:highlight w:val="none"/>
        </w:rPr>
        <w:t>3.供应商不存在直接管理关系的，则填“无”。</w:t>
      </w:r>
    </w:p>
    <w:p w14:paraId="378FEE99">
      <w:pPr>
        <w:snapToGrid w:val="0"/>
        <w:spacing w:line="360" w:lineRule="auto"/>
        <w:jc w:val="left"/>
        <w:rPr>
          <w:rFonts w:ascii="宋体" w:hAnsi="宋体"/>
          <w:color w:val="auto"/>
          <w:sz w:val="24"/>
          <w:highlight w:val="none"/>
        </w:rPr>
      </w:pPr>
    </w:p>
    <w:p w14:paraId="6A881A54">
      <w:pPr>
        <w:snapToGrid w:val="0"/>
        <w:spacing w:line="360" w:lineRule="auto"/>
        <w:jc w:val="left"/>
        <w:rPr>
          <w:rFonts w:ascii="宋体" w:hAnsi="宋体"/>
          <w:color w:val="auto"/>
          <w:sz w:val="24"/>
          <w:highlight w:val="none"/>
        </w:rPr>
      </w:pPr>
    </w:p>
    <w:p w14:paraId="2401759C">
      <w:pPr>
        <w:snapToGrid w:val="0"/>
        <w:spacing w:line="360" w:lineRule="auto"/>
        <w:jc w:val="left"/>
        <w:rPr>
          <w:color w:val="auto"/>
          <w:sz w:val="24"/>
          <w:highlight w:val="none"/>
        </w:rPr>
      </w:pPr>
    </w:p>
    <w:p w14:paraId="1ECEF691">
      <w:pPr>
        <w:snapToGrid w:val="0"/>
        <w:spacing w:line="360" w:lineRule="auto"/>
        <w:jc w:val="left"/>
        <w:rPr>
          <w:color w:val="auto"/>
          <w:sz w:val="24"/>
          <w:highlight w:val="none"/>
        </w:rPr>
      </w:pPr>
    </w:p>
    <w:p w14:paraId="39DFBC40">
      <w:pPr>
        <w:snapToGrid w:val="0"/>
        <w:spacing w:line="360" w:lineRule="auto"/>
        <w:jc w:val="left"/>
        <w:rPr>
          <w:color w:val="auto"/>
          <w:sz w:val="24"/>
          <w:highlight w:val="none"/>
        </w:rPr>
      </w:pPr>
    </w:p>
    <w:p w14:paraId="4CF414C9">
      <w:pPr>
        <w:snapToGrid w:val="0"/>
        <w:spacing w:line="360" w:lineRule="auto"/>
        <w:jc w:val="left"/>
        <w:rPr>
          <w:rFonts w:ascii="宋体" w:hAnsi="宋体"/>
          <w:color w:val="auto"/>
          <w:sz w:val="24"/>
          <w:highlight w:val="none"/>
        </w:rPr>
      </w:pPr>
    </w:p>
    <w:p w14:paraId="6CB87DE2">
      <w:pPr>
        <w:snapToGrid w:val="0"/>
        <w:spacing w:before="156" w:beforeLines="50" w:line="360" w:lineRule="auto"/>
        <w:ind w:right="480" w:firstLine="2160" w:firstLineChars="900"/>
        <w:rPr>
          <w:rFonts w:ascii="宋体" w:hAnsi="宋体"/>
          <w:color w:val="auto"/>
          <w:sz w:val="24"/>
          <w:highlight w:val="none"/>
          <w:u w:val="single"/>
        </w:rPr>
      </w:pPr>
      <w:r>
        <w:rPr>
          <w:rFonts w:hint="eastAsia" w:ascii="宋体" w:hAnsi="宋体"/>
          <w:color w:val="auto"/>
          <w:sz w:val="24"/>
          <w:highlight w:val="none"/>
        </w:rPr>
        <w:t>法定代表人或者委托代理人签字：</w:t>
      </w:r>
      <w:r>
        <w:rPr>
          <w:rFonts w:hint="eastAsia" w:ascii="宋体" w:hAnsi="宋体"/>
          <w:color w:val="auto"/>
          <w:sz w:val="24"/>
          <w:highlight w:val="none"/>
          <w:u w:val="single"/>
        </w:rPr>
        <w:t xml:space="preserve">               </w:t>
      </w:r>
    </w:p>
    <w:p w14:paraId="06C44BBB">
      <w:pPr>
        <w:snapToGrid w:val="0"/>
        <w:spacing w:before="156" w:beforeLines="50" w:after="50" w:line="360" w:lineRule="auto"/>
        <w:ind w:right="480" w:firstLine="3360" w:firstLineChars="1400"/>
        <w:rPr>
          <w:rFonts w:ascii="宋体" w:hAnsi="宋体"/>
          <w:color w:val="auto"/>
          <w:sz w:val="24"/>
          <w:highlight w:val="none"/>
        </w:rPr>
      </w:pPr>
      <w:r>
        <w:rPr>
          <w:rFonts w:hint="eastAsia" w:ascii="宋体" w:hAnsi="宋体"/>
          <w:color w:val="auto"/>
          <w:sz w:val="24"/>
          <w:highlight w:val="none"/>
        </w:rPr>
        <w:t>供应商（盖公章）：</w:t>
      </w:r>
      <w:r>
        <w:rPr>
          <w:rFonts w:hint="eastAsia" w:ascii="宋体" w:hAnsi="宋体"/>
          <w:color w:val="auto"/>
          <w:sz w:val="24"/>
          <w:highlight w:val="none"/>
          <w:u w:val="single"/>
        </w:rPr>
        <w:t xml:space="preserve">                </w:t>
      </w:r>
    </w:p>
    <w:p w14:paraId="372BE955">
      <w:pPr>
        <w:snapToGrid w:val="0"/>
        <w:spacing w:before="156" w:beforeLines="50" w:after="50" w:line="360" w:lineRule="auto"/>
        <w:ind w:right="480" w:firstLine="240" w:firstLineChars="100"/>
        <w:jc w:val="center"/>
        <w:rPr>
          <w:rFonts w:ascii="宋体" w:hAnsi="宋体"/>
          <w:color w:val="auto"/>
          <w:sz w:val="28"/>
          <w:szCs w:val="28"/>
          <w:highlight w:val="none"/>
        </w:rPr>
      </w:pPr>
      <w:r>
        <w:rPr>
          <w:rFonts w:hint="eastAsia" w:ascii="宋体" w:hAnsi="宋体"/>
          <w:color w:val="auto"/>
          <w:sz w:val="24"/>
          <w:highlight w:val="none"/>
        </w:rPr>
        <w:t xml:space="preserve">                                        年    月    日</w:t>
      </w:r>
    </w:p>
    <w:p w14:paraId="40E01E6A">
      <w:pPr>
        <w:spacing w:line="320" w:lineRule="exact"/>
        <w:jc w:val="center"/>
        <w:rPr>
          <w:rFonts w:ascii="宋体" w:hAnsi="宋体"/>
          <w:b/>
          <w:color w:val="auto"/>
          <w:sz w:val="32"/>
          <w:szCs w:val="32"/>
          <w:highlight w:val="none"/>
        </w:rPr>
      </w:pPr>
      <w:r>
        <w:rPr>
          <w:rFonts w:ascii="宋体" w:hAnsi="宋体"/>
          <w:color w:val="auto"/>
          <w:sz w:val="28"/>
          <w:szCs w:val="28"/>
          <w:highlight w:val="none"/>
        </w:rPr>
        <w:br w:type="page"/>
      </w:r>
      <w:r>
        <w:rPr>
          <w:rFonts w:hint="eastAsia" w:ascii="宋体" w:hAnsi="宋体"/>
          <w:b/>
          <w:color w:val="auto"/>
          <w:sz w:val="32"/>
          <w:szCs w:val="32"/>
          <w:highlight w:val="none"/>
        </w:rPr>
        <w:t>竞标声明</w:t>
      </w:r>
    </w:p>
    <w:p w14:paraId="6E3B9D2E">
      <w:pPr>
        <w:spacing w:line="320" w:lineRule="exact"/>
        <w:jc w:val="center"/>
        <w:rPr>
          <w:rFonts w:ascii="宋体" w:hAnsi="宋体"/>
          <w:color w:val="auto"/>
          <w:sz w:val="24"/>
          <w:szCs w:val="20"/>
          <w:highlight w:val="none"/>
        </w:rPr>
      </w:pPr>
    </w:p>
    <w:p w14:paraId="6B63E8F9">
      <w:pPr>
        <w:spacing w:before="156" w:beforeLines="50" w:after="50" w:line="360" w:lineRule="auto"/>
        <w:contextualSpacing/>
        <w:rPr>
          <w:rFonts w:ascii="宋体" w:hAnsi="宋体" w:cs="宋体"/>
          <w:color w:val="auto"/>
          <w:sz w:val="24"/>
          <w:highlight w:val="none"/>
        </w:rPr>
      </w:pPr>
      <w:r>
        <w:rPr>
          <w:rFonts w:hint="eastAsia" w:ascii="宋体" w:hAnsi="宋体" w:cs="宋体"/>
          <w:color w:val="auto"/>
          <w:sz w:val="24"/>
          <w:highlight w:val="none"/>
        </w:rPr>
        <w:t>致：</w:t>
      </w:r>
      <w:r>
        <w:rPr>
          <w:rFonts w:hint="eastAsia" w:ascii="宋体" w:hAnsi="宋体" w:cs="宋体"/>
          <w:color w:val="auto"/>
          <w:sz w:val="24"/>
          <w:highlight w:val="none"/>
          <w:u w:val="single"/>
        </w:rPr>
        <w:t>（采购代理机构名称）</w:t>
      </w:r>
      <w:r>
        <w:rPr>
          <w:rFonts w:hint="eastAsia" w:ascii="宋体" w:hAnsi="宋体" w:cs="宋体"/>
          <w:color w:val="auto"/>
          <w:sz w:val="24"/>
          <w:highlight w:val="none"/>
        </w:rPr>
        <w:t>：</w:t>
      </w:r>
    </w:p>
    <w:p w14:paraId="264EE07B">
      <w:pPr>
        <w:spacing w:before="156" w:beforeLines="50" w:after="50"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u w:val="single"/>
        </w:rPr>
        <w:t>（供应商名称）</w:t>
      </w:r>
      <w:r>
        <w:rPr>
          <w:rFonts w:hint="eastAsia" w:ascii="宋体" w:hAnsi="宋体" w:cs="宋体"/>
          <w:color w:val="auto"/>
          <w:sz w:val="24"/>
          <w:highlight w:val="none"/>
        </w:rPr>
        <w:t>系中华人民共和国合法供应商，经营地址</w:t>
      </w:r>
      <w:r>
        <w:rPr>
          <w:rFonts w:hint="eastAsia" w:ascii="宋体" w:hAnsi="宋体" w:cs="宋体"/>
          <w:color w:val="auto"/>
          <w:sz w:val="24"/>
          <w:highlight w:val="none"/>
          <w:u w:val="single"/>
        </w:rPr>
        <w:t xml:space="preserve">                              </w:t>
      </w:r>
      <w:r>
        <w:rPr>
          <w:rFonts w:hint="eastAsia" w:ascii="宋体" w:hAnsi="宋体" w:cs="宋体"/>
          <w:color w:val="auto"/>
          <w:sz w:val="24"/>
          <w:highlight w:val="none"/>
        </w:rPr>
        <w:t>。</w:t>
      </w:r>
    </w:p>
    <w:p w14:paraId="49EE222E">
      <w:pPr>
        <w:spacing w:before="156" w:beforeLines="50"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rPr>
        <w:t>我方愿意参加贵方组织的</w:t>
      </w:r>
      <w:r>
        <w:rPr>
          <w:rFonts w:hint="eastAsia" w:ascii="宋体" w:hAnsi="宋体" w:cs="宋体"/>
          <w:color w:val="auto"/>
          <w:sz w:val="24"/>
          <w:highlight w:val="none"/>
          <w:u w:val="single"/>
        </w:rPr>
        <w:t>（项目名称）</w:t>
      </w:r>
      <w:r>
        <w:rPr>
          <w:rFonts w:hint="eastAsia" w:ascii="宋体" w:hAnsi="宋体" w:cs="宋体"/>
          <w:color w:val="auto"/>
          <w:sz w:val="24"/>
          <w:highlight w:val="none"/>
        </w:rPr>
        <w:t>项目的竞标，为便于贵方公正、择优地确定成交供应商及其竞标产品和服务，我方就本次竞标有关事项郑重声明如下：</w:t>
      </w:r>
    </w:p>
    <w:p w14:paraId="77EE26BE">
      <w:pPr>
        <w:spacing w:before="156" w:beforeLines="50"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rPr>
        <w:t>1.我方向贵方提交的所有响应文件、资料都是准确的和真实的。</w:t>
      </w:r>
    </w:p>
    <w:p w14:paraId="31CACA99">
      <w:pPr>
        <w:spacing w:before="156" w:beforeLines="50"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2B103A62">
      <w:pPr>
        <w:spacing w:before="156" w:beforeLines="50"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rPr>
        <w:t>3.在此，我方宣布同意如下：</w:t>
      </w:r>
    </w:p>
    <w:p w14:paraId="0B239F0F">
      <w:pPr>
        <w:spacing w:before="156" w:beforeLines="50"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rPr>
        <w:t>（1）将按磋商文件的约定履行合同责任和义务；</w:t>
      </w:r>
    </w:p>
    <w:p w14:paraId="3829EB3B">
      <w:pPr>
        <w:spacing w:before="156" w:beforeLines="50"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rPr>
        <w:t>（2）已详细审查全部磋商文件，包括澄清或者更正公告（如有）；</w:t>
      </w:r>
    </w:p>
    <w:p w14:paraId="541BD930">
      <w:pPr>
        <w:spacing w:before="156" w:beforeLines="50"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rPr>
        <w:t>（3）同意提供按照贵方可能要求的与磋商有关的一切数据或者资料；</w:t>
      </w:r>
    </w:p>
    <w:p w14:paraId="33040939">
      <w:pPr>
        <w:spacing w:before="156" w:beforeLines="50"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rPr>
        <w:t>（4）响应磋商文件规定的竞标有效期。</w:t>
      </w:r>
    </w:p>
    <w:p w14:paraId="7705D760">
      <w:pPr>
        <w:spacing w:before="156" w:beforeLines="50"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rPr>
        <w:t>4.我方承诺符合《中华人民共和国政府采购法》第二十二条规定：</w:t>
      </w:r>
    </w:p>
    <w:p w14:paraId="016AC384">
      <w:pPr>
        <w:spacing w:before="156" w:beforeLines="50"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rPr>
        <w:t>（1）具有独立承担民事责任的能力；</w:t>
      </w:r>
    </w:p>
    <w:p w14:paraId="155D12E8">
      <w:pPr>
        <w:spacing w:before="156" w:beforeLines="50"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rPr>
        <w:t>（2）具有良好的商业信誉和健全的财务会计制度；</w:t>
      </w:r>
    </w:p>
    <w:p w14:paraId="5D3FFC42">
      <w:pPr>
        <w:spacing w:before="156" w:beforeLines="50"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rPr>
        <w:t>（3）具有履行合同所必需的设备和专业技术能力；</w:t>
      </w:r>
    </w:p>
    <w:p w14:paraId="14DB774D">
      <w:pPr>
        <w:spacing w:before="156" w:beforeLines="50"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rPr>
        <w:t>（4）有依法缴纳税收和社会保障资金的良好记录；</w:t>
      </w:r>
    </w:p>
    <w:p w14:paraId="458B9C53">
      <w:pPr>
        <w:spacing w:before="156" w:beforeLines="50"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rPr>
        <w:t>（5）参加政府采购活动前三年内，在经营活动中没有重大违法记录；</w:t>
      </w:r>
    </w:p>
    <w:p w14:paraId="747BB0EA">
      <w:pPr>
        <w:spacing w:before="156" w:beforeLines="50"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rPr>
        <w:t>（6）法律、行政法规规定的其他条件。</w:t>
      </w:r>
    </w:p>
    <w:p w14:paraId="220D6AB6">
      <w:pPr>
        <w:spacing w:before="156" w:beforeLines="50"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rPr>
        <w:t>5.我方在此声明，我方在参加本项目的政府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256E6337">
      <w:pPr>
        <w:spacing w:before="156" w:beforeLines="50"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rPr>
        <w:t>6.根据《中华人民共和国政府采购法实施条例》第五十条要求对政府采购合同进行公告，但政府采购合同中涉及国家秘密、商业秘密的内容除外。我方就对本次响应文件进行注明如下：（两项内容中必须选择一项）</w:t>
      </w:r>
    </w:p>
    <w:p w14:paraId="3410ED00">
      <w:pPr>
        <w:spacing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rPr>
        <w:t>□我方本次响应文件</w:t>
      </w:r>
      <w:r>
        <w:rPr>
          <w:rFonts w:hint="eastAsia" w:ascii="宋体" w:hAnsi="宋体" w:cs="宋体"/>
          <w:color w:val="auto"/>
          <w:kern w:val="0"/>
          <w:sz w:val="24"/>
          <w:highlight w:val="none"/>
        </w:rPr>
        <w:t>内容中</w:t>
      </w:r>
      <w:r>
        <w:rPr>
          <w:rFonts w:hint="eastAsia" w:ascii="宋体" w:hAnsi="宋体" w:cs="宋体"/>
          <w:color w:val="auto"/>
          <w:sz w:val="24"/>
          <w:highlight w:val="none"/>
        </w:rPr>
        <w:t>未</w:t>
      </w:r>
      <w:r>
        <w:rPr>
          <w:rFonts w:hint="eastAsia" w:ascii="宋体" w:hAnsi="宋体" w:cs="宋体"/>
          <w:color w:val="auto"/>
          <w:kern w:val="0"/>
          <w:sz w:val="24"/>
          <w:highlight w:val="none"/>
        </w:rPr>
        <w:t>涉及商业秘密；</w:t>
      </w:r>
    </w:p>
    <w:p w14:paraId="25DDC363">
      <w:pPr>
        <w:spacing w:line="360" w:lineRule="auto"/>
        <w:ind w:firstLine="480" w:firstLineChars="200"/>
        <w:contextualSpacing/>
        <w:rPr>
          <w:rFonts w:ascii="宋体" w:hAnsi="宋体" w:cs="宋体"/>
          <w:color w:val="auto"/>
          <w:sz w:val="24"/>
          <w:highlight w:val="none"/>
        </w:rPr>
      </w:pPr>
      <w:r>
        <w:rPr>
          <w:rFonts w:hint="eastAsia" w:ascii="宋体" w:hAnsi="宋体" w:cs="宋体"/>
          <w:color w:val="auto"/>
          <w:sz w:val="24"/>
          <w:highlight w:val="none"/>
        </w:rPr>
        <w:t>□我方本次响应文件</w:t>
      </w:r>
      <w:r>
        <w:rPr>
          <w:rFonts w:hint="eastAsia" w:ascii="宋体" w:hAnsi="宋体" w:cs="宋体"/>
          <w:color w:val="auto"/>
          <w:kern w:val="0"/>
          <w:sz w:val="24"/>
          <w:highlight w:val="none"/>
        </w:rPr>
        <w:t>涉及商业秘密的内容有：</w:t>
      </w:r>
      <w:r>
        <w:rPr>
          <w:rFonts w:hint="eastAsia" w:ascii="宋体" w:hAnsi="宋体" w:cs="宋体"/>
          <w:color w:val="auto"/>
          <w:kern w:val="0"/>
          <w:sz w:val="24"/>
          <w:highlight w:val="none"/>
          <w:u w:val="single"/>
        </w:rPr>
        <w:t xml:space="preserve">                         </w:t>
      </w:r>
      <w:r>
        <w:rPr>
          <w:rFonts w:hint="eastAsia" w:ascii="宋体" w:hAnsi="宋体" w:cs="宋体"/>
          <w:color w:val="auto"/>
          <w:kern w:val="0"/>
          <w:sz w:val="24"/>
          <w:highlight w:val="none"/>
        </w:rPr>
        <w:t>；</w:t>
      </w:r>
    </w:p>
    <w:p w14:paraId="351C8B96">
      <w:pPr>
        <w:pStyle w:val="18"/>
        <w:spacing w:line="360" w:lineRule="auto"/>
        <w:ind w:firstLine="480" w:firstLineChars="200"/>
        <w:contextualSpacing/>
        <w:rPr>
          <w:rFonts w:hAnsi="宋体" w:cs="宋体"/>
          <w:color w:val="auto"/>
          <w:sz w:val="24"/>
          <w:szCs w:val="24"/>
          <w:highlight w:val="none"/>
          <w:u w:val="single"/>
        </w:rPr>
      </w:pPr>
      <w:r>
        <w:rPr>
          <w:rFonts w:hint="eastAsia" w:hAnsi="宋体" w:cs="宋体"/>
          <w:color w:val="auto"/>
          <w:sz w:val="24"/>
          <w:szCs w:val="24"/>
          <w:highlight w:val="none"/>
        </w:rPr>
        <w:t>7.与本磋商有关的一切正式往来信函请寄：</w:t>
      </w:r>
      <w:r>
        <w:rPr>
          <w:rFonts w:hint="eastAsia" w:hAnsi="宋体" w:cs="宋体"/>
          <w:color w:val="auto"/>
          <w:sz w:val="24"/>
          <w:szCs w:val="24"/>
          <w:highlight w:val="none"/>
          <w:u w:val="single"/>
        </w:rPr>
        <w:t xml:space="preserve">                  </w:t>
      </w:r>
      <w:r>
        <w:rPr>
          <w:rFonts w:hint="eastAsia" w:hAnsi="宋体" w:cs="宋体"/>
          <w:color w:val="auto"/>
          <w:sz w:val="24"/>
          <w:szCs w:val="24"/>
          <w:highlight w:val="none"/>
        </w:rPr>
        <w:t>邮政编号：</w:t>
      </w:r>
      <w:r>
        <w:rPr>
          <w:rFonts w:hint="eastAsia" w:hAnsi="宋体" w:cs="宋体"/>
          <w:color w:val="auto"/>
          <w:sz w:val="24"/>
          <w:szCs w:val="24"/>
          <w:highlight w:val="none"/>
          <w:u w:val="single"/>
        </w:rPr>
        <w:t xml:space="preserve">        </w:t>
      </w:r>
    </w:p>
    <w:p w14:paraId="40888A85">
      <w:pPr>
        <w:pStyle w:val="18"/>
        <w:spacing w:line="360" w:lineRule="auto"/>
        <w:ind w:firstLine="480" w:firstLineChars="200"/>
        <w:contextualSpacing/>
        <w:rPr>
          <w:rFonts w:hAnsi="宋体" w:cs="宋体"/>
          <w:color w:val="auto"/>
          <w:sz w:val="24"/>
          <w:szCs w:val="24"/>
          <w:highlight w:val="none"/>
        </w:rPr>
      </w:pPr>
      <w:r>
        <w:rPr>
          <w:rFonts w:hint="eastAsia" w:hAnsi="宋体" w:cs="宋体"/>
          <w:color w:val="auto"/>
          <w:sz w:val="24"/>
          <w:szCs w:val="24"/>
          <w:highlight w:val="none"/>
        </w:rPr>
        <w:t>电话/传真：</w:t>
      </w:r>
      <w:r>
        <w:rPr>
          <w:rFonts w:hint="eastAsia" w:hAnsi="宋体" w:cs="宋体"/>
          <w:color w:val="auto"/>
          <w:sz w:val="24"/>
          <w:szCs w:val="24"/>
          <w:highlight w:val="none"/>
          <w:u w:val="single"/>
        </w:rPr>
        <w:t xml:space="preserve">                        </w:t>
      </w:r>
      <w:r>
        <w:rPr>
          <w:rFonts w:hint="eastAsia" w:hAnsi="宋体" w:cs="宋体"/>
          <w:color w:val="auto"/>
          <w:sz w:val="24"/>
          <w:szCs w:val="24"/>
          <w:highlight w:val="none"/>
        </w:rPr>
        <w:t xml:space="preserve"> 电子函件：</w:t>
      </w:r>
      <w:r>
        <w:rPr>
          <w:rFonts w:hint="eastAsia" w:hAnsi="宋体" w:cs="宋体"/>
          <w:color w:val="auto"/>
          <w:sz w:val="24"/>
          <w:szCs w:val="24"/>
          <w:highlight w:val="none"/>
          <w:u w:val="single"/>
        </w:rPr>
        <w:t xml:space="preserve">                            </w:t>
      </w:r>
      <w:r>
        <w:rPr>
          <w:rFonts w:hint="eastAsia" w:hAnsi="宋体" w:cs="宋体"/>
          <w:color w:val="auto"/>
          <w:sz w:val="24"/>
          <w:szCs w:val="24"/>
          <w:highlight w:val="none"/>
        </w:rPr>
        <w:t xml:space="preserve">    </w:t>
      </w:r>
    </w:p>
    <w:p w14:paraId="1B5270B1">
      <w:pPr>
        <w:pStyle w:val="17"/>
        <w:tabs>
          <w:tab w:val="left" w:pos="939"/>
        </w:tabs>
        <w:spacing w:line="360" w:lineRule="auto"/>
        <w:ind w:left="141" w:leftChars="67" w:firstLine="360" w:firstLineChars="150"/>
        <w:rPr>
          <w:rFonts w:ascii="宋体" w:hAnsi="宋体" w:cs="宋体"/>
          <w:color w:val="auto"/>
          <w:sz w:val="24"/>
          <w:highlight w:val="none"/>
        </w:rPr>
      </w:pPr>
      <w:r>
        <w:rPr>
          <w:rFonts w:hint="eastAsia" w:ascii="宋体" w:hAnsi="宋体" w:cs="宋体"/>
          <w:color w:val="auto"/>
          <w:sz w:val="24"/>
          <w:highlight w:val="none"/>
        </w:rPr>
        <w:t>开户银行：</w:t>
      </w:r>
      <w:r>
        <w:rPr>
          <w:rFonts w:hint="eastAsia" w:ascii="宋体" w:hAnsi="宋体" w:cs="宋体"/>
          <w:color w:val="auto"/>
          <w:sz w:val="24"/>
          <w:highlight w:val="none"/>
          <w:u w:val="single"/>
        </w:rPr>
        <w:t xml:space="preserve">                         </w:t>
      </w:r>
      <w:r>
        <w:rPr>
          <w:rFonts w:hint="eastAsia" w:ascii="宋体" w:hAnsi="宋体" w:cs="宋体"/>
          <w:color w:val="auto"/>
          <w:sz w:val="24"/>
          <w:highlight w:val="none"/>
        </w:rPr>
        <w:t xml:space="preserve">  账号：</w:t>
      </w:r>
      <w:r>
        <w:rPr>
          <w:rFonts w:hint="eastAsia" w:ascii="宋体" w:hAnsi="宋体" w:cs="宋体"/>
          <w:color w:val="auto"/>
          <w:sz w:val="24"/>
          <w:highlight w:val="none"/>
          <w:u w:val="single"/>
        </w:rPr>
        <w:t xml:space="preserve">                               </w:t>
      </w:r>
    </w:p>
    <w:p w14:paraId="026F3B60">
      <w:pPr>
        <w:pStyle w:val="17"/>
        <w:tabs>
          <w:tab w:val="left" w:pos="939"/>
        </w:tabs>
        <w:spacing w:line="360" w:lineRule="auto"/>
        <w:ind w:left="0" w:leftChars="0" w:firstLine="480" w:firstLineChars="200"/>
        <w:rPr>
          <w:rFonts w:ascii="宋体" w:hAnsi="宋体" w:cs="宋体"/>
          <w:color w:val="auto"/>
          <w:sz w:val="24"/>
          <w:highlight w:val="none"/>
        </w:rPr>
      </w:pPr>
      <w:r>
        <w:rPr>
          <w:rFonts w:hint="eastAsia" w:ascii="宋体" w:hAnsi="宋体" w:cs="宋体"/>
          <w:color w:val="auto"/>
          <w:sz w:val="24"/>
          <w:highlight w:val="none"/>
        </w:rPr>
        <w:t>8.以上事项如有虚假或者隐瞒，我方愿意承担一切后果，并不再寻求任何旨在减轻或者免除法律责任的辩解。</w:t>
      </w:r>
    </w:p>
    <w:p w14:paraId="290EB6A1">
      <w:pPr>
        <w:pStyle w:val="17"/>
        <w:tabs>
          <w:tab w:val="left" w:pos="939"/>
        </w:tabs>
        <w:spacing w:line="360" w:lineRule="auto"/>
        <w:ind w:left="141" w:leftChars="67" w:firstLine="360" w:firstLineChars="150"/>
        <w:rPr>
          <w:rFonts w:ascii="宋体" w:hAnsi="宋体" w:cs="宋体"/>
          <w:color w:val="auto"/>
          <w:sz w:val="24"/>
          <w:highlight w:val="none"/>
        </w:rPr>
      </w:pPr>
      <w:r>
        <w:rPr>
          <w:rFonts w:hint="eastAsia" w:ascii="宋体" w:hAnsi="宋体" w:cs="宋体"/>
          <w:color w:val="auto"/>
          <w:sz w:val="24"/>
          <w:highlight w:val="none"/>
        </w:rPr>
        <w:t>特此承诺。</w:t>
      </w:r>
    </w:p>
    <w:p w14:paraId="413CC81D">
      <w:pPr>
        <w:pStyle w:val="17"/>
        <w:tabs>
          <w:tab w:val="left" w:pos="939"/>
        </w:tabs>
        <w:spacing w:line="360" w:lineRule="auto"/>
        <w:ind w:left="0" w:leftChars="0" w:firstLine="480" w:firstLineChars="200"/>
        <w:rPr>
          <w:rFonts w:ascii="宋体" w:hAnsi="宋体" w:cs="宋体"/>
          <w:color w:val="auto"/>
          <w:sz w:val="24"/>
          <w:highlight w:val="none"/>
        </w:rPr>
      </w:pPr>
      <w:r>
        <w:rPr>
          <w:rFonts w:hint="eastAsia" w:ascii="宋体" w:hAnsi="宋体" w:cs="宋体"/>
          <w:color w:val="auto"/>
          <w:sz w:val="24"/>
          <w:highlight w:val="none"/>
        </w:rPr>
        <w:t>注：如为联合体竞标，盖章处须加盖联合体各方公章并由联合体各方法定代表人签署，否则其响应文件按无效响应处理。</w:t>
      </w:r>
    </w:p>
    <w:p w14:paraId="1E2C8EEE">
      <w:pPr>
        <w:spacing w:line="360" w:lineRule="auto"/>
        <w:ind w:firstLine="4320" w:firstLineChars="1800"/>
        <w:rPr>
          <w:color w:val="auto"/>
          <w:sz w:val="24"/>
          <w:highlight w:val="none"/>
        </w:rPr>
      </w:pPr>
      <w:r>
        <w:rPr>
          <w:rFonts w:hint="eastAsia"/>
          <w:color w:val="auto"/>
          <w:sz w:val="24"/>
          <w:highlight w:val="none"/>
        </w:rPr>
        <w:t>法定代表人（签字）：</w:t>
      </w:r>
      <w:r>
        <w:rPr>
          <w:rFonts w:hint="eastAsia"/>
          <w:color w:val="auto"/>
          <w:sz w:val="24"/>
          <w:highlight w:val="none"/>
          <w:u w:val="single"/>
        </w:rPr>
        <w:t xml:space="preserve">                         </w:t>
      </w:r>
    </w:p>
    <w:p w14:paraId="657CD816">
      <w:pPr>
        <w:spacing w:line="360" w:lineRule="auto"/>
        <w:ind w:firstLine="4320" w:firstLineChars="1800"/>
        <w:rPr>
          <w:rFonts w:ascii="宋体" w:hAnsi="宋体" w:cs="宋体"/>
          <w:color w:val="auto"/>
          <w:sz w:val="24"/>
          <w:highlight w:val="none"/>
          <w:u w:val="single"/>
        </w:rPr>
      </w:pPr>
      <w:r>
        <w:rPr>
          <w:rFonts w:hint="eastAsia"/>
          <w:color w:val="auto"/>
          <w:sz w:val="24"/>
          <w:highlight w:val="none"/>
        </w:rPr>
        <w:t>供应商（盖公章）：</w:t>
      </w:r>
      <w:r>
        <w:rPr>
          <w:rFonts w:hint="eastAsia"/>
          <w:color w:val="auto"/>
          <w:sz w:val="24"/>
          <w:highlight w:val="none"/>
          <w:u w:val="single"/>
        </w:rPr>
        <w:t xml:space="preserve">                           </w:t>
      </w:r>
    </w:p>
    <w:p w14:paraId="27AB6F29">
      <w:pPr>
        <w:snapToGrid w:val="0"/>
        <w:spacing w:before="156" w:beforeLines="50" w:after="50" w:line="360" w:lineRule="auto"/>
        <w:ind w:right="480" w:firstLine="240" w:firstLineChars="100"/>
        <w:jc w:val="center"/>
        <w:rPr>
          <w:rFonts w:ascii="宋体" w:hAnsi="宋体"/>
          <w:color w:val="auto"/>
          <w:sz w:val="28"/>
          <w:szCs w:val="28"/>
          <w:highlight w:val="none"/>
        </w:rPr>
      </w:pPr>
      <w:r>
        <w:rPr>
          <w:rFonts w:hint="eastAsia" w:ascii="宋体" w:hAnsi="宋体" w:cs="宋体"/>
          <w:color w:val="auto"/>
          <w:sz w:val="24"/>
          <w:highlight w:val="none"/>
        </w:rPr>
        <w:t xml:space="preserve">                                                  </w:t>
      </w:r>
      <w:r>
        <w:rPr>
          <w:rFonts w:hint="eastAsia"/>
          <w:color w:val="auto"/>
          <w:sz w:val="24"/>
          <w:highlight w:val="none"/>
        </w:rPr>
        <w:t xml:space="preserve"> 年    月    日</w:t>
      </w:r>
    </w:p>
    <w:p w14:paraId="47411799">
      <w:pPr>
        <w:pStyle w:val="9"/>
        <w:overflowPunct w:val="0"/>
        <w:spacing w:line="360" w:lineRule="auto"/>
        <w:ind w:firstLine="490" w:firstLineChars="175"/>
        <w:jc w:val="center"/>
        <w:rPr>
          <w:rFonts w:ascii="宋体" w:hAnsi="宋体"/>
          <w:b/>
          <w:color w:val="auto"/>
          <w:sz w:val="32"/>
          <w:szCs w:val="32"/>
          <w:highlight w:val="none"/>
        </w:rPr>
      </w:pPr>
      <w:r>
        <w:rPr>
          <w:rFonts w:ascii="宋体" w:hAnsi="宋体"/>
          <w:color w:val="auto"/>
          <w:sz w:val="28"/>
          <w:szCs w:val="28"/>
          <w:highlight w:val="none"/>
        </w:rPr>
        <w:br w:type="page"/>
      </w:r>
      <w:r>
        <w:rPr>
          <w:rFonts w:hint="eastAsia" w:ascii="宋体" w:hAnsi="宋体"/>
          <w:b/>
          <w:bCs/>
          <w:color w:val="auto"/>
          <w:sz w:val="32"/>
          <w:szCs w:val="32"/>
          <w:highlight w:val="none"/>
        </w:rPr>
        <w:t>二、</w:t>
      </w:r>
      <w:r>
        <w:rPr>
          <w:rFonts w:hint="eastAsia" w:ascii="宋体" w:hAnsi="宋体"/>
          <w:b/>
          <w:color w:val="auto"/>
          <w:sz w:val="32"/>
          <w:szCs w:val="32"/>
          <w:highlight w:val="none"/>
        </w:rPr>
        <w:t xml:space="preserve">报价商务技术文件格式 </w:t>
      </w:r>
    </w:p>
    <w:p w14:paraId="39982155">
      <w:pPr>
        <w:snapToGrid w:val="0"/>
        <w:spacing w:before="156" w:beforeLines="50" w:after="50" w:line="360" w:lineRule="auto"/>
        <w:jc w:val="left"/>
        <w:rPr>
          <w:rFonts w:ascii="宋体" w:hAnsi="宋体"/>
          <w:b/>
          <w:color w:val="auto"/>
          <w:sz w:val="32"/>
          <w:szCs w:val="32"/>
          <w:highlight w:val="none"/>
        </w:rPr>
      </w:pPr>
      <w:r>
        <w:rPr>
          <w:rFonts w:hint="eastAsia" w:ascii="宋体" w:hAnsi="宋体"/>
          <w:b/>
          <w:color w:val="auto"/>
          <w:sz w:val="32"/>
          <w:szCs w:val="32"/>
          <w:highlight w:val="none"/>
        </w:rPr>
        <w:t>1.报价商务技术文件封面格式</w:t>
      </w:r>
    </w:p>
    <w:p w14:paraId="29CA7273">
      <w:pPr>
        <w:snapToGrid w:val="0"/>
        <w:spacing w:before="156" w:beforeLines="50" w:after="50"/>
        <w:rPr>
          <w:rFonts w:ascii="宋体" w:hAnsi="宋体"/>
          <w:bCs/>
          <w:color w:val="auto"/>
          <w:sz w:val="32"/>
          <w:szCs w:val="20"/>
          <w:highlight w:val="none"/>
        </w:rPr>
      </w:pPr>
      <w:r>
        <w:rPr>
          <w:rFonts w:hint="eastAsia" w:ascii="宋体" w:hAnsi="宋体"/>
          <w:color w:val="auto"/>
          <w:sz w:val="24"/>
          <w:highlight w:val="none"/>
        </w:rPr>
        <w:t xml:space="preserve">                                                    </w:t>
      </w:r>
      <w:r>
        <w:rPr>
          <w:rFonts w:hint="eastAsia" w:ascii="宋体" w:hAnsi="宋体"/>
          <w:bCs/>
          <w:color w:val="auto"/>
          <w:highlight w:val="none"/>
        </w:rPr>
        <w:t>正本/副本</w:t>
      </w:r>
    </w:p>
    <w:p w14:paraId="1FB3204E">
      <w:pPr>
        <w:snapToGrid w:val="0"/>
        <w:spacing w:before="156" w:beforeLines="50" w:after="50"/>
        <w:rPr>
          <w:rFonts w:ascii="宋体" w:hAnsi="宋体"/>
          <w:color w:val="auto"/>
          <w:sz w:val="24"/>
          <w:szCs w:val="20"/>
          <w:highlight w:val="none"/>
        </w:rPr>
      </w:pPr>
    </w:p>
    <w:p w14:paraId="5CC12075">
      <w:pPr>
        <w:snapToGrid w:val="0"/>
        <w:spacing w:before="156" w:beforeLines="50" w:after="50"/>
        <w:rPr>
          <w:rFonts w:ascii="宋体" w:hAnsi="宋体"/>
          <w:color w:val="auto"/>
          <w:sz w:val="24"/>
          <w:szCs w:val="20"/>
          <w:highlight w:val="none"/>
        </w:rPr>
      </w:pPr>
    </w:p>
    <w:p w14:paraId="4128C2F9">
      <w:pPr>
        <w:snapToGrid w:val="0"/>
        <w:spacing w:before="156" w:beforeLines="50" w:after="50"/>
        <w:rPr>
          <w:rFonts w:ascii="宋体" w:hAnsi="宋体"/>
          <w:color w:val="auto"/>
          <w:sz w:val="24"/>
          <w:szCs w:val="20"/>
          <w:highlight w:val="none"/>
        </w:rPr>
      </w:pPr>
    </w:p>
    <w:p w14:paraId="25370C01">
      <w:pPr>
        <w:snapToGrid w:val="0"/>
        <w:spacing w:before="156" w:beforeLines="50" w:after="50"/>
        <w:jc w:val="center"/>
        <w:rPr>
          <w:rFonts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rPr>
        <w:t>报  价  商  务  技  术  文  件</w:t>
      </w:r>
    </w:p>
    <w:p w14:paraId="37DB4824">
      <w:pPr>
        <w:snapToGrid w:val="0"/>
        <w:spacing w:before="156" w:beforeLines="50" w:after="50"/>
        <w:rPr>
          <w:rFonts w:ascii="宋体" w:hAnsi="宋体"/>
          <w:bCs/>
          <w:color w:val="auto"/>
          <w:sz w:val="24"/>
          <w:szCs w:val="20"/>
          <w:highlight w:val="none"/>
        </w:rPr>
      </w:pPr>
    </w:p>
    <w:p w14:paraId="46FD1073">
      <w:pPr>
        <w:snapToGrid w:val="0"/>
        <w:spacing w:before="156" w:beforeLines="50" w:after="50"/>
        <w:rPr>
          <w:rFonts w:ascii="宋体" w:hAnsi="宋体"/>
          <w:bCs/>
          <w:color w:val="auto"/>
          <w:sz w:val="24"/>
          <w:szCs w:val="20"/>
          <w:highlight w:val="none"/>
        </w:rPr>
      </w:pPr>
    </w:p>
    <w:p w14:paraId="51D25B3A">
      <w:pPr>
        <w:snapToGrid w:val="0"/>
        <w:spacing w:before="156" w:beforeLines="50" w:after="50"/>
        <w:rPr>
          <w:rFonts w:ascii="宋体" w:hAnsi="宋体"/>
          <w:bCs/>
          <w:color w:val="auto"/>
          <w:sz w:val="24"/>
          <w:szCs w:val="20"/>
          <w:highlight w:val="none"/>
        </w:rPr>
      </w:pPr>
    </w:p>
    <w:p w14:paraId="6008822E">
      <w:pPr>
        <w:snapToGrid w:val="0"/>
        <w:spacing w:before="156" w:beforeLines="50" w:after="50"/>
        <w:rPr>
          <w:rFonts w:ascii="宋体" w:hAnsi="宋体"/>
          <w:bCs/>
          <w:color w:val="auto"/>
          <w:sz w:val="24"/>
          <w:szCs w:val="20"/>
          <w:highlight w:val="none"/>
        </w:rPr>
      </w:pPr>
    </w:p>
    <w:p w14:paraId="001C50AA">
      <w:pPr>
        <w:snapToGrid w:val="0"/>
        <w:spacing w:before="156" w:beforeLines="50" w:after="50"/>
        <w:rPr>
          <w:rFonts w:ascii="宋体" w:hAnsi="宋体"/>
          <w:bCs/>
          <w:color w:val="auto"/>
          <w:sz w:val="24"/>
          <w:szCs w:val="20"/>
          <w:highlight w:val="none"/>
        </w:rPr>
      </w:pPr>
    </w:p>
    <w:p w14:paraId="398CB021">
      <w:pPr>
        <w:snapToGrid w:val="0"/>
        <w:spacing w:before="156" w:beforeLines="50" w:after="50"/>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项目名称：</w:t>
      </w:r>
    </w:p>
    <w:p w14:paraId="3F00E739">
      <w:pPr>
        <w:snapToGrid w:val="0"/>
        <w:spacing w:before="156" w:beforeLines="50" w:after="50"/>
        <w:ind w:firstLine="720" w:firstLineChars="225"/>
        <w:rPr>
          <w:rFonts w:ascii="仿宋_GB2312" w:hAnsi="仿宋_GB2312" w:eastAsia="仿宋_GB2312" w:cs="仿宋_GB2312"/>
          <w:bCs/>
          <w:color w:val="auto"/>
          <w:sz w:val="32"/>
          <w:szCs w:val="32"/>
          <w:highlight w:val="none"/>
        </w:rPr>
      </w:pPr>
    </w:p>
    <w:p w14:paraId="67D24325">
      <w:pPr>
        <w:snapToGrid w:val="0"/>
        <w:spacing w:before="156" w:beforeLines="50" w:after="50"/>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项目编号：</w:t>
      </w:r>
    </w:p>
    <w:p w14:paraId="19D1E6D5">
      <w:pPr>
        <w:snapToGrid w:val="0"/>
        <w:spacing w:before="156" w:beforeLines="50" w:after="50"/>
        <w:ind w:firstLine="720" w:firstLineChars="225"/>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 xml:space="preserve"> </w:t>
      </w:r>
    </w:p>
    <w:p w14:paraId="706A37A7">
      <w:pPr>
        <w:snapToGrid w:val="0"/>
        <w:spacing w:before="156" w:beforeLines="50" w:after="50"/>
        <w:ind w:firstLine="472" w:firstLineChars="225"/>
        <w:rPr>
          <w:rFonts w:ascii="仿宋_GB2312" w:hAnsi="仿宋_GB2312" w:eastAsia="仿宋_GB2312" w:cs="仿宋_GB2312"/>
          <w:bCs/>
          <w:color w:val="auto"/>
          <w:sz w:val="32"/>
          <w:szCs w:val="32"/>
          <w:highlight w:val="none"/>
        </w:rPr>
      </w:pPr>
      <w:r>
        <w:rPr>
          <w:rFonts w:hint="eastAsia"/>
          <w:color w:val="auto"/>
          <w:highlight w:val="none"/>
          <w:lang w:val="en-US" w:eastAsia="zh-CN"/>
        </w:rPr>
        <w:t xml:space="preserve"> </w:t>
      </w:r>
      <w:r>
        <w:rPr>
          <w:rFonts w:hint="eastAsia" w:ascii="仿宋_GB2312" w:hAnsi="仿宋_GB2312" w:eastAsia="仿宋_GB2312" w:cs="仿宋_GB2312"/>
          <w:bCs/>
          <w:color w:val="auto"/>
          <w:sz w:val="32"/>
          <w:szCs w:val="32"/>
          <w:highlight w:val="none"/>
          <w:lang w:val="en-US" w:eastAsia="zh-CN"/>
        </w:rPr>
        <w:t>所竞分标（如有则填写，无分标时填写“无”或者留空）</w:t>
      </w:r>
      <w:r>
        <w:rPr>
          <w:rFonts w:hint="eastAsia" w:ascii="仿宋_GB2312" w:hAnsi="仿宋_GB2312" w:eastAsia="仿宋_GB2312" w:cs="仿宋_GB2312"/>
          <w:bCs/>
          <w:color w:val="auto"/>
          <w:sz w:val="32"/>
          <w:szCs w:val="32"/>
          <w:highlight w:val="none"/>
        </w:rPr>
        <w:t>：</w:t>
      </w:r>
    </w:p>
    <w:p w14:paraId="6E2839E3">
      <w:pPr>
        <w:pStyle w:val="9"/>
        <w:snapToGrid w:val="0"/>
        <w:spacing w:before="50" w:after="50"/>
        <w:ind w:firstLine="640" w:firstLineChars="200"/>
        <w:rPr>
          <w:rFonts w:hint="eastAsia" w:ascii="仿宋_GB2312" w:hAnsi="仿宋_GB2312" w:eastAsia="仿宋_GB2312" w:cs="仿宋_GB2312"/>
          <w:bCs/>
          <w:color w:val="auto"/>
          <w:sz w:val="32"/>
          <w:szCs w:val="32"/>
          <w:highlight w:val="none"/>
        </w:rPr>
      </w:pPr>
    </w:p>
    <w:p w14:paraId="52904C3F">
      <w:pPr>
        <w:pStyle w:val="9"/>
        <w:snapToGrid w:val="0"/>
        <w:spacing w:before="50" w:after="50"/>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供应商名称：</w:t>
      </w:r>
    </w:p>
    <w:p w14:paraId="6B929B39">
      <w:pPr>
        <w:pStyle w:val="9"/>
        <w:snapToGrid w:val="0"/>
        <w:spacing w:before="50" w:after="50"/>
        <w:ind w:firstLine="720" w:firstLineChars="225"/>
        <w:rPr>
          <w:rFonts w:ascii="仿宋_GB2312" w:hAnsi="仿宋_GB2312" w:eastAsia="仿宋_GB2312" w:cs="仿宋_GB2312"/>
          <w:bCs/>
          <w:color w:val="auto"/>
          <w:sz w:val="32"/>
          <w:szCs w:val="32"/>
          <w:highlight w:val="none"/>
        </w:rPr>
      </w:pPr>
    </w:p>
    <w:p w14:paraId="19AC6679">
      <w:pPr>
        <w:pStyle w:val="9"/>
        <w:snapToGrid w:val="0"/>
        <w:spacing w:before="50" w:after="50"/>
        <w:ind w:firstLine="720" w:firstLineChars="225"/>
        <w:rPr>
          <w:rFonts w:ascii="仿宋_GB2312" w:hAnsi="仿宋_GB2312" w:eastAsia="仿宋_GB2312" w:cs="仿宋_GB2312"/>
          <w:bCs/>
          <w:color w:val="auto"/>
          <w:sz w:val="32"/>
          <w:szCs w:val="32"/>
          <w:highlight w:val="none"/>
        </w:rPr>
      </w:pPr>
    </w:p>
    <w:p w14:paraId="50E83C8C">
      <w:pPr>
        <w:pStyle w:val="9"/>
        <w:snapToGrid w:val="0"/>
        <w:spacing w:before="50" w:after="50"/>
        <w:ind w:firstLine="1280" w:firstLineChars="400"/>
        <w:rPr>
          <w:rFonts w:ascii="仿宋_GB2312" w:hAnsi="仿宋_GB2312" w:eastAsia="仿宋_GB2312" w:cs="仿宋_GB2312"/>
          <w:bCs/>
          <w:color w:val="auto"/>
          <w:sz w:val="32"/>
          <w:szCs w:val="32"/>
          <w:highlight w:val="none"/>
        </w:rPr>
      </w:pPr>
    </w:p>
    <w:p w14:paraId="4C8BAB7D">
      <w:pPr>
        <w:snapToGrid w:val="0"/>
        <w:spacing w:before="156" w:beforeLines="50" w:after="50"/>
        <w:jc w:val="center"/>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年    月    日</w:t>
      </w:r>
    </w:p>
    <w:p w14:paraId="256AA425">
      <w:pPr>
        <w:snapToGrid w:val="0"/>
        <w:spacing w:before="156" w:beforeLines="50" w:after="50" w:line="360" w:lineRule="auto"/>
        <w:ind w:left="142"/>
        <w:jc w:val="left"/>
        <w:rPr>
          <w:rFonts w:ascii="宋体" w:hAnsi="宋体"/>
          <w:b/>
          <w:bCs/>
          <w:color w:val="auto"/>
          <w:sz w:val="24"/>
          <w:highlight w:val="none"/>
        </w:rPr>
      </w:pPr>
      <w:r>
        <w:rPr>
          <w:rFonts w:ascii="宋体" w:hAnsi="宋体"/>
          <w:color w:val="auto"/>
          <w:sz w:val="24"/>
          <w:highlight w:val="none"/>
        </w:rPr>
        <w:br w:type="page"/>
      </w:r>
      <w:r>
        <w:rPr>
          <w:rFonts w:hint="eastAsia" w:ascii="宋体" w:hAnsi="宋体"/>
          <w:b/>
          <w:bCs/>
          <w:color w:val="auto"/>
          <w:sz w:val="32"/>
          <w:szCs w:val="32"/>
          <w:highlight w:val="none"/>
        </w:rPr>
        <w:t>2.报价商务技术文件目录</w:t>
      </w:r>
    </w:p>
    <w:p w14:paraId="08B04E72">
      <w:pPr>
        <w:snapToGrid w:val="0"/>
        <w:spacing w:before="156" w:beforeLines="50" w:after="50" w:line="360" w:lineRule="auto"/>
        <w:ind w:firstLine="640" w:firstLineChars="200"/>
        <w:rPr>
          <w:rFonts w:ascii="宋体" w:hAnsi="宋体"/>
          <w:color w:val="auto"/>
          <w:sz w:val="32"/>
          <w:szCs w:val="32"/>
          <w:highlight w:val="none"/>
        </w:rPr>
      </w:pPr>
      <w:r>
        <w:rPr>
          <w:rFonts w:hint="eastAsia" w:ascii="宋体" w:hAnsi="宋体"/>
          <w:color w:val="auto"/>
          <w:sz w:val="32"/>
          <w:szCs w:val="32"/>
          <w:highlight w:val="none"/>
        </w:rPr>
        <w:t>根据磋商文件规定及供应商提供的材料自行编写目录（部分格式后附）。</w:t>
      </w:r>
    </w:p>
    <w:p w14:paraId="39400408">
      <w:pPr>
        <w:spacing w:line="400" w:lineRule="exact"/>
        <w:rPr>
          <w:rFonts w:ascii="仿宋_GB2312" w:hAnsi="仿宋_GB2312" w:eastAsia="仿宋_GB2312" w:cs="仿宋_GB2312"/>
          <w:color w:val="auto"/>
          <w:sz w:val="32"/>
          <w:szCs w:val="32"/>
          <w:highlight w:val="none"/>
        </w:rPr>
      </w:pPr>
    </w:p>
    <w:p w14:paraId="3544EB1C">
      <w:pPr>
        <w:spacing w:line="520" w:lineRule="exact"/>
        <w:jc w:val="center"/>
        <w:rPr>
          <w:rFonts w:ascii="仿宋_GB2312" w:hAnsi="仿宋_GB2312" w:eastAsia="仿宋_GB2312" w:cs="仿宋_GB2312"/>
          <w:color w:val="auto"/>
          <w:sz w:val="32"/>
          <w:szCs w:val="32"/>
          <w:highlight w:val="none"/>
        </w:rPr>
      </w:pPr>
      <w:r>
        <w:rPr>
          <w:rFonts w:hint="eastAsia" w:ascii="方正小标宋简体" w:hAnsi="方正小标宋简体" w:eastAsia="方正小标宋简体" w:cs="方正小标宋简体"/>
          <w:color w:val="auto"/>
          <w:sz w:val="44"/>
          <w:szCs w:val="44"/>
          <w:highlight w:val="none"/>
        </w:rPr>
        <w:br w:type="page"/>
      </w:r>
      <w:r>
        <w:rPr>
          <w:rFonts w:hint="eastAsia" w:ascii="方正小标宋简体" w:hAnsi="方正小标宋简体" w:eastAsia="方正小标宋简体" w:cs="方正小标宋简体"/>
          <w:color w:val="auto"/>
          <w:sz w:val="44"/>
          <w:szCs w:val="44"/>
          <w:highlight w:val="none"/>
        </w:rPr>
        <w:t>无串通竞标行为的承诺函</w:t>
      </w:r>
    </w:p>
    <w:p w14:paraId="4CA76AC9">
      <w:pPr>
        <w:spacing w:line="360" w:lineRule="auto"/>
        <w:ind w:firstLine="482" w:firstLineChars="200"/>
        <w:rPr>
          <w:rFonts w:hint="eastAsia" w:ascii="宋体" w:hAnsi="宋体" w:cs="仿宋_GB2312"/>
          <w:b/>
          <w:bCs/>
          <w:color w:val="auto"/>
          <w:sz w:val="24"/>
          <w:highlight w:val="none"/>
        </w:rPr>
      </w:pPr>
    </w:p>
    <w:p w14:paraId="0DE251FD">
      <w:pPr>
        <w:spacing w:line="360" w:lineRule="auto"/>
        <w:ind w:firstLine="482" w:firstLineChars="200"/>
        <w:rPr>
          <w:rFonts w:ascii="宋体" w:hAnsi="宋体" w:cs="仿宋_GB2312"/>
          <w:b/>
          <w:bCs/>
          <w:color w:val="auto"/>
          <w:sz w:val="24"/>
          <w:highlight w:val="none"/>
        </w:rPr>
      </w:pPr>
      <w:r>
        <w:rPr>
          <w:rFonts w:hint="eastAsia" w:ascii="宋体" w:hAnsi="宋体" w:cs="仿宋_GB2312"/>
          <w:b/>
          <w:bCs/>
          <w:color w:val="auto"/>
          <w:sz w:val="24"/>
          <w:highlight w:val="none"/>
        </w:rPr>
        <w:t>一、我方承诺无下列相互串通竞标的情形：</w:t>
      </w:r>
    </w:p>
    <w:p w14:paraId="46EC05CF">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1.不同供应商的响应文件由同一单位或者个人编制；或者不同供应商报名的IP地址一致的；</w:t>
      </w:r>
    </w:p>
    <w:p w14:paraId="3C6A9A00">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2.不同供应商委托同一单位或者个人办理竞标事宜；</w:t>
      </w:r>
    </w:p>
    <w:p w14:paraId="2205F634">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3.不同供应商的响应文件载明的项目管理员为同一个人；</w:t>
      </w:r>
    </w:p>
    <w:p w14:paraId="745390B0">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4.不</w:t>
      </w:r>
      <w:r>
        <w:rPr>
          <w:rFonts w:hint="eastAsia" w:ascii="宋体" w:hAnsi="宋体" w:cs="仿宋_GB2312"/>
          <w:color w:val="auto"/>
          <w:spacing w:val="-6"/>
          <w:sz w:val="24"/>
          <w:highlight w:val="none"/>
        </w:rPr>
        <w:t>同供应商的响应文件异常一致或者竞标报价呈规律性差异；</w:t>
      </w:r>
    </w:p>
    <w:p w14:paraId="701CA783">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5.不同供应商的响应文件相互混装；</w:t>
      </w:r>
    </w:p>
    <w:p w14:paraId="05019422">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6.不同供应商的磋商保证金从同一单位或者个人账户转出。</w:t>
      </w:r>
    </w:p>
    <w:p w14:paraId="4DFE3BB8">
      <w:pPr>
        <w:spacing w:line="360" w:lineRule="auto"/>
        <w:ind w:firstLine="482" w:firstLineChars="200"/>
        <w:rPr>
          <w:rFonts w:ascii="宋体" w:hAnsi="宋体" w:cs="仿宋_GB2312"/>
          <w:b/>
          <w:bCs/>
          <w:color w:val="auto"/>
          <w:sz w:val="24"/>
          <w:highlight w:val="none"/>
        </w:rPr>
      </w:pPr>
      <w:r>
        <w:rPr>
          <w:rFonts w:hint="eastAsia" w:ascii="宋体" w:hAnsi="宋体" w:cs="仿宋_GB2312"/>
          <w:b/>
          <w:bCs/>
          <w:color w:val="auto"/>
          <w:sz w:val="24"/>
          <w:highlight w:val="none"/>
        </w:rPr>
        <w:t>二、我方承诺无下列恶意串通的情形：</w:t>
      </w:r>
    </w:p>
    <w:p w14:paraId="784E9E5D">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1.供应商直接或者间接从采购人或者采购代理机构处获得其他供应商的相关信息并修改其响应文件；</w:t>
      </w:r>
    </w:p>
    <w:p w14:paraId="669D11FB">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2.供应商按照采购人或者采购代理机构的授意撤换、修改响应文件；</w:t>
      </w:r>
    </w:p>
    <w:p w14:paraId="19111B43">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3.供</w:t>
      </w:r>
      <w:r>
        <w:rPr>
          <w:rFonts w:hint="eastAsia" w:ascii="宋体" w:hAnsi="宋体" w:cs="仿宋_GB2312"/>
          <w:color w:val="auto"/>
          <w:spacing w:val="-6"/>
          <w:sz w:val="24"/>
          <w:highlight w:val="none"/>
        </w:rPr>
        <w:t>应商之间协商报价、技术方案等响应文件的实质性内容；</w:t>
      </w:r>
    </w:p>
    <w:p w14:paraId="4993C1BD">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4.属于同一集团、协会、商会等组织成员的供应商按照该组织要求协同参加政府采购活动；</w:t>
      </w:r>
    </w:p>
    <w:p w14:paraId="2ABC5C92">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5.供应商之间事先约定一致抬高或者压低竞标报价，或者在竞争性磋商项目中事先约定轮流以高价位或者低价位成交，或者事先约定由某一特定供应商成交，然后再参加竞标；</w:t>
      </w:r>
    </w:p>
    <w:p w14:paraId="25DC3F25">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6.供应商之间商定部分供应商放弃参加政府采购活动或者放弃成交；</w:t>
      </w:r>
    </w:p>
    <w:p w14:paraId="30E22285">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7.供应商与采购人或者采购代理机构之间、供应商相互之间，为</w:t>
      </w:r>
      <w:r>
        <w:rPr>
          <w:rFonts w:hint="eastAsia" w:ascii="宋体" w:hAnsi="宋体" w:cs="仿宋_GB2312"/>
          <w:color w:val="auto"/>
          <w:spacing w:val="-6"/>
          <w:sz w:val="24"/>
          <w:highlight w:val="none"/>
        </w:rPr>
        <w:t>谋求特定供应商成交或者排斥其他供应商的其他串通行为。</w:t>
      </w:r>
    </w:p>
    <w:p w14:paraId="3F19CAD9">
      <w:pPr>
        <w:spacing w:line="360" w:lineRule="auto"/>
        <w:ind w:firstLine="480" w:firstLineChars="200"/>
        <w:rPr>
          <w:rFonts w:ascii="宋体" w:hAnsi="宋体" w:cs="仿宋_GB2312"/>
          <w:color w:val="auto"/>
          <w:sz w:val="24"/>
          <w:highlight w:val="none"/>
        </w:rPr>
      </w:pPr>
    </w:p>
    <w:p w14:paraId="6E299C3D">
      <w:pPr>
        <w:spacing w:line="360" w:lineRule="auto"/>
        <w:ind w:firstLine="482" w:firstLineChars="200"/>
        <w:rPr>
          <w:rFonts w:ascii="宋体" w:hAnsi="宋体" w:cs="仿宋_GB2312"/>
          <w:b/>
          <w:bCs/>
          <w:color w:val="auto"/>
          <w:sz w:val="24"/>
          <w:highlight w:val="none"/>
        </w:rPr>
      </w:pPr>
      <w:r>
        <w:rPr>
          <w:rFonts w:hint="eastAsia" w:ascii="宋体" w:hAnsi="宋体" w:cs="仿宋_GB2312"/>
          <w:b/>
          <w:bCs/>
          <w:color w:val="auto"/>
          <w:sz w:val="24"/>
          <w:highlight w:val="none"/>
        </w:rPr>
        <w:t>以上情形一经核查属实，我方愿意承担一切后果，并不再寻求任何旨在减轻或者免除法律责任的辩解。</w:t>
      </w:r>
    </w:p>
    <w:p w14:paraId="3B3689E7">
      <w:pPr>
        <w:spacing w:line="360" w:lineRule="auto"/>
        <w:ind w:firstLine="3600" w:firstLineChars="1500"/>
        <w:rPr>
          <w:rFonts w:ascii="宋体" w:hAnsi="宋体" w:cs="仿宋_GB2312"/>
          <w:color w:val="auto"/>
          <w:sz w:val="24"/>
          <w:highlight w:val="none"/>
        </w:rPr>
      </w:pPr>
      <w:r>
        <w:rPr>
          <w:rFonts w:hint="eastAsia" w:ascii="宋体" w:hAnsi="宋体" w:cs="仿宋_GB2312"/>
          <w:color w:val="auto"/>
          <w:sz w:val="24"/>
          <w:highlight w:val="none"/>
        </w:rPr>
        <w:t>供应商（盖公章）：</w:t>
      </w:r>
    </w:p>
    <w:p w14:paraId="25E365B8">
      <w:pPr>
        <w:spacing w:line="360" w:lineRule="auto"/>
        <w:ind w:firstLine="480" w:firstLineChars="200"/>
        <w:jc w:val="center"/>
        <w:rPr>
          <w:rFonts w:ascii="宋体" w:hAnsi="宋体" w:cs="仿宋_GB2312"/>
          <w:color w:val="auto"/>
          <w:sz w:val="24"/>
          <w:highlight w:val="none"/>
        </w:rPr>
      </w:pPr>
      <w:r>
        <w:rPr>
          <w:rFonts w:hint="eastAsia" w:ascii="宋体" w:hAnsi="宋体" w:cs="仿宋_GB2312"/>
          <w:color w:val="auto"/>
          <w:sz w:val="24"/>
          <w:highlight w:val="none"/>
        </w:rPr>
        <w:t xml:space="preserve">                               年   月   日</w:t>
      </w:r>
    </w:p>
    <w:p w14:paraId="43FB9F8A">
      <w:pPr>
        <w:pStyle w:val="24"/>
        <w:rPr>
          <w:color w:val="auto"/>
          <w:highlight w:val="none"/>
        </w:rPr>
      </w:pPr>
    </w:p>
    <w:p w14:paraId="4ED5DB32">
      <w:pPr>
        <w:snapToGrid w:val="0"/>
        <w:spacing w:before="156" w:beforeLines="50" w:after="50"/>
        <w:jc w:val="center"/>
        <w:rPr>
          <w:rFonts w:ascii="宋体" w:hAnsi="宋体" w:cs="宋体"/>
          <w:b/>
          <w:color w:val="auto"/>
          <w:sz w:val="32"/>
          <w:szCs w:val="32"/>
          <w:highlight w:val="none"/>
        </w:rPr>
      </w:pPr>
      <w:r>
        <w:rPr>
          <w:rFonts w:ascii="宋体" w:hAnsi="宋体" w:cs="宋体"/>
          <w:color w:val="auto"/>
          <w:sz w:val="44"/>
          <w:szCs w:val="44"/>
          <w:highlight w:val="none"/>
        </w:rPr>
        <w:br w:type="page"/>
      </w:r>
      <w:r>
        <w:rPr>
          <w:rFonts w:hint="eastAsia" w:ascii="宋体" w:hAnsi="宋体" w:cs="宋体"/>
          <w:b/>
          <w:bCs/>
          <w:color w:val="auto"/>
          <w:sz w:val="44"/>
          <w:szCs w:val="44"/>
          <w:highlight w:val="none"/>
        </w:rPr>
        <w:t>供应商廉政承诺</w:t>
      </w:r>
    </w:p>
    <w:p w14:paraId="26E452CE">
      <w:pPr>
        <w:spacing w:line="560" w:lineRule="exact"/>
        <w:jc w:val="center"/>
        <w:rPr>
          <w:rFonts w:ascii="宋体" w:hAnsi="宋体" w:cs="宋体"/>
          <w:b/>
          <w:bCs/>
          <w:color w:val="auto"/>
          <w:sz w:val="44"/>
          <w:szCs w:val="44"/>
          <w:highlight w:val="none"/>
        </w:rPr>
      </w:pPr>
    </w:p>
    <w:p w14:paraId="514D8DB6">
      <w:pPr>
        <w:snapToGrid w:val="0"/>
        <w:spacing w:before="156" w:beforeLines="50" w:after="50" w:line="360" w:lineRule="auto"/>
        <w:ind w:firstLine="431" w:firstLineChars="196"/>
        <w:jc w:val="left"/>
        <w:rPr>
          <w:rFonts w:ascii="宋体" w:hAnsi="宋体" w:cs="宋体"/>
          <w:color w:val="auto"/>
          <w:sz w:val="22"/>
          <w:szCs w:val="22"/>
          <w:highlight w:val="none"/>
        </w:rPr>
      </w:pPr>
      <w:r>
        <w:rPr>
          <w:rFonts w:hint="eastAsia" w:ascii="宋体" w:hAnsi="宋体" w:cs="宋体"/>
          <w:color w:val="auto"/>
          <w:sz w:val="22"/>
          <w:szCs w:val="22"/>
          <w:highlight w:val="none"/>
        </w:rPr>
        <w:t>一、不与采购单位工作人员勾连操作项目中标。</w:t>
      </w:r>
    </w:p>
    <w:p w14:paraId="1DEB1272">
      <w:pPr>
        <w:snapToGrid w:val="0"/>
        <w:spacing w:before="156" w:beforeLines="50" w:after="50" w:line="360" w:lineRule="auto"/>
        <w:ind w:firstLine="431" w:firstLineChars="196"/>
        <w:jc w:val="left"/>
        <w:rPr>
          <w:rFonts w:ascii="宋体" w:hAnsi="宋体" w:cs="宋体"/>
          <w:color w:val="auto"/>
          <w:sz w:val="22"/>
          <w:szCs w:val="22"/>
          <w:highlight w:val="none"/>
        </w:rPr>
      </w:pPr>
      <w:r>
        <w:rPr>
          <w:rFonts w:hint="eastAsia" w:ascii="宋体" w:hAnsi="宋体" w:cs="宋体"/>
          <w:color w:val="auto"/>
          <w:sz w:val="22"/>
          <w:szCs w:val="22"/>
          <w:highlight w:val="none"/>
        </w:rPr>
        <w:t>二、不以任何形式向采购单位工作人员送礼金、银行卡、有价证券、支付凭证和礼品等。</w:t>
      </w:r>
    </w:p>
    <w:p w14:paraId="4B0E8F71">
      <w:pPr>
        <w:snapToGrid w:val="0"/>
        <w:spacing w:before="156" w:beforeLines="50" w:after="50" w:line="360" w:lineRule="auto"/>
        <w:ind w:firstLine="431" w:firstLineChars="196"/>
        <w:jc w:val="left"/>
        <w:rPr>
          <w:rFonts w:ascii="宋体" w:hAnsi="宋体" w:cs="宋体"/>
          <w:color w:val="auto"/>
          <w:sz w:val="22"/>
          <w:szCs w:val="22"/>
          <w:highlight w:val="none"/>
        </w:rPr>
      </w:pPr>
      <w:r>
        <w:rPr>
          <w:rFonts w:hint="eastAsia" w:ascii="宋体" w:hAnsi="宋体" w:cs="宋体"/>
          <w:color w:val="auto"/>
          <w:sz w:val="22"/>
          <w:szCs w:val="22"/>
          <w:highlight w:val="none"/>
        </w:rPr>
        <w:t>三、不支付采购单位工作人员以咨询费、劳务费、回扣费等名义索要的各种费用，不报销应由采购单位或个人承担的费用。</w:t>
      </w:r>
    </w:p>
    <w:p w14:paraId="12D1819D">
      <w:pPr>
        <w:snapToGrid w:val="0"/>
        <w:spacing w:before="156" w:beforeLines="50" w:after="50" w:line="360" w:lineRule="auto"/>
        <w:ind w:firstLine="431" w:firstLineChars="196"/>
        <w:jc w:val="left"/>
        <w:rPr>
          <w:rFonts w:ascii="宋体" w:hAnsi="宋体" w:cs="宋体"/>
          <w:color w:val="auto"/>
          <w:sz w:val="22"/>
          <w:szCs w:val="22"/>
          <w:highlight w:val="none"/>
        </w:rPr>
      </w:pPr>
      <w:r>
        <w:rPr>
          <w:rFonts w:hint="eastAsia" w:ascii="宋体" w:hAnsi="宋体" w:cs="宋体"/>
          <w:color w:val="auto"/>
          <w:sz w:val="22"/>
          <w:szCs w:val="22"/>
          <w:highlight w:val="none"/>
        </w:rPr>
        <w:t>四、不为采购单位工作人员提供旅游、健身、娱乐等消费活动，不利用宴请等活动影响采购单位工作人员公正招标及履行合同。</w:t>
      </w:r>
    </w:p>
    <w:p w14:paraId="4A3809F3">
      <w:pPr>
        <w:snapToGrid w:val="0"/>
        <w:spacing w:before="156" w:beforeLines="50" w:after="50" w:line="360" w:lineRule="auto"/>
        <w:ind w:firstLine="431" w:firstLineChars="196"/>
        <w:jc w:val="left"/>
        <w:rPr>
          <w:rFonts w:ascii="宋体" w:hAnsi="宋体" w:cs="宋体"/>
          <w:color w:val="auto"/>
          <w:sz w:val="22"/>
          <w:szCs w:val="22"/>
          <w:highlight w:val="none"/>
        </w:rPr>
      </w:pPr>
      <w:r>
        <w:rPr>
          <w:rFonts w:hint="eastAsia" w:ascii="宋体" w:hAnsi="宋体" w:cs="宋体"/>
          <w:color w:val="auto"/>
          <w:sz w:val="22"/>
          <w:szCs w:val="22"/>
          <w:highlight w:val="none"/>
        </w:rPr>
        <w:t>五、不为采购单位工作人员的亲友的营利活动提供便利条件。</w:t>
      </w:r>
    </w:p>
    <w:p w14:paraId="416C2BF2">
      <w:pPr>
        <w:snapToGrid w:val="0"/>
        <w:spacing w:before="156" w:beforeLines="50" w:after="50" w:line="360" w:lineRule="auto"/>
        <w:ind w:firstLine="431" w:firstLineChars="196"/>
        <w:jc w:val="left"/>
        <w:rPr>
          <w:rFonts w:ascii="宋体" w:hAnsi="宋体" w:cs="宋体"/>
          <w:color w:val="auto"/>
          <w:sz w:val="22"/>
          <w:szCs w:val="22"/>
          <w:highlight w:val="none"/>
        </w:rPr>
      </w:pPr>
      <w:r>
        <w:rPr>
          <w:rFonts w:hint="eastAsia" w:ascii="宋体" w:hAnsi="宋体" w:cs="宋体"/>
          <w:color w:val="auto"/>
          <w:sz w:val="22"/>
          <w:szCs w:val="22"/>
          <w:highlight w:val="none"/>
        </w:rPr>
        <w:t>六、不为采购单位工作人员在住房装修、婚丧嫁娶、家属和子女的工作安排以及出国等提供便利。</w:t>
      </w:r>
    </w:p>
    <w:p w14:paraId="7C5C5665">
      <w:pPr>
        <w:snapToGrid w:val="0"/>
        <w:spacing w:before="156" w:beforeLines="50" w:after="50" w:line="360" w:lineRule="auto"/>
        <w:ind w:firstLine="431" w:firstLineChars="196"/>
        <w:jc w:val="left"/>
        <w:rPr>
          <w:rFonts w:ascii="宋体" w:hAnsi="宋体" w:cs="宋体"/>
          <w:color w:val="auto"/>
          <w:sz w:val="22"/>
          <w:szCs w:val="22"/>
          <w:highlight w:val="none"/>
        </w:rPr>
      </w:pPr>
      <w:r>
        <w:rPr>
          <w:rFonts w:hint="eastAsia" w:ascii="宋体" w:hAnsi="宋体" w:cs="宋体"/>
          <w:color w:val="auto"/>
          <w:sz w:val="22"/>
          <w:szCs w:val="22"/>
          <w:highlight w:val="none"/>
        </w:rPr>
        <w:t>七、不在合同签订、验收、付款等履行环节为获得便利向采购单位任何人支付任何合同约定以外的费用。</w:t>
      </w:r>
    </w:p>
    <w:p w14:paraId="7591E9BB">
      <w:pPr>
        <w:snapToGrid w:val="0"/>
        <w:spacing w:before="156" w:beforeLines="50" w:after="50" w:line="360" w:lineRule="auto"/>
        <w:ind w:firstLine="431" w:firstLineChars="196"/>
        <w:jc w:val="left"/>
        <w:rPr>
          <w:rFonts w:ascii="宋体" w:hAnsi="宋体" w:cs="宋体"/>
          <w:color w:val="auto"/>
          <w:sz w:val="22"/>
          <w:szCs w:val="22"/>
          <w:highlight w:val="none"/>
        </w:rPr>
      </w:pPr>
      <w:r>
        <w:rPr>
          <w:rFonts w:hint="eastAsia" w:ascii="宋体" w:hAnsi="宋体" w:cs="宋体"/>
          <w:color w:val="auto"/>
          <w:sz w:val="22"/>
          <w:szCs w:val="22"/>
          <w:highlight w:val="none"/>
        </w:rPr>
        <w:t>八、不与采购单位工作人员就经费结算、货物供应、物资验收、物资质量问题处理等进行私下协商。</w:t>
      </w:r>
    </w:p>
    <w:p w14:paraId="392F5329">
      <w:pPr>
        <w:snapToGrid w:val="0"/>
        <w:spacing w:before="156" w:beforeLines="50" w:after="50" w:line="360" w:lineRule="auto"/>
        <w:ind w:firstLine="431" w:firstLineChars="196"/>
        <w:jc w:val="left"/>
        <w:rPr>
          <w:rFonts w:ascii="宋体" w:hAnsi="宋体" w:cs="宋体"/>
          <w:color w:val="auto"/>
          <w:sz w:val="22"/>
          <w:szCs w:val="22"/>
          <w:highlight w:val="none"/>
        </w:rPr>
      </w:pPr>
    </w:p>
    <w:p w14:paraId="15615C46">
      <w:pPr>
        <w:snapToGrid w:val="0"/>
        <w:spacing w:before="156" w:beforeLines="50" w:after="50" w:line="360" w:lineRule="auto"/>
        <w:ind w:firstLine="3729" w:firstLineChars="1695"/>
        <w:jc w:val="right"/>
        <w:rPr>
          <w:rFonts w:ascii="宋体" w:hAnsi="宋体" w:cs="宋体"/>
          <w:color w:val="auto"/>
          <w:sz w:val="22"/>
          <w:szCs w:val="22"/>
          <w:highlight w:val="none"/>
        </w:rPr>
      </w:pPr>
      <w:r>
        <w:rPr>
          <w:rFonts w:hint="eastAsia" w:ascii="宋体" w:hAnsi="宋体" w:cs="宋体"/>
          <w:color w:val="auto"/>
          <w:sz w:val="22"/>
          <w:szCs w:val="22"/>
          <w:highlight w:val="none"/>
        </w:rPr>
        <w:t>供应商（公章）：</w:t>
      </w:r>
    </w:p>
    <w:p w14:paraId="14D1357E">
      <w:pPr>
        <w:snapToGrid w:val="0"/>
        <w:spacing w:before="156" w:beforeLines="50" w:after="50" w:line="360" w:lineRule="auto"/>
        <w:ind w:firstLine="3511" w:firstLineChars="1596"/>
        <w:jc w:val="right"/>
        <w:rPr>
          <w:rFonts w:ascii="宋体" w:hAnsi="宋体" w:cs="宋体"/>
          <w:color w:val="auto"/>
          <w:sz w:val="22"/>
          <w:szCs w:val="22"/>
          <w:highlight w:val="none"/>
        </w:rPr>
      </w:pPr>
      <w:r>
        <w:rPr>
          <w:rFonts w:hint="eastAsia" w:ascii="宋体" w:hAnsi="宋体" w:cs="宋体"/>
          <w:color w:val="auto"/>
          <w:sz w:val="22"/>
          <w:szCs w:val="22"/>
          <w:highlight w:val="none"/>
        </w:rPr>
        <w:t>法定代表人（签字）：</w:t>
      </w:r>
    </w:p>
    <w:p w14:paraId="2BD6DA58">
      <w:pPr>
        <w:snapToGrid w:val="0"/>
        <w:spacing w:before="295" w:after="295" w:line="360" w:lineRule="auto"/>
        <w:ind w:firstLine="3520" w:firstLineChars="1600"/>
        <w:jc w:val="right"/>
        <w:rPr>
          <w:rFonts w:ascii="宋体" w:hAnsi="宋体" w:cs="宋体"/>
          <w:color w:val="auto"/>
          <w:sz w:val="22"/>
          <w:szCs w:val="22"/>
          <w:highlight w:val="none"/>
        </w:rPr>
      </w:pPr>
      <w:r>
        <w:rPr>
          <w:rFonts w:hint="eastAsia" w:ascii="宋体" w:hAnsi="宋体" w:cs="宋体"/>
          <w:color w:val="auto"/>
          <w:sz w:val="22"/>
          <w:szCs w:val="22"/>
          <w:highlight w:val="none"/>
        </w:rPr>
        <w:t xml:space="preserve">  </w:t>
      </w:r>
      <w:r>
        <w:rPr>
          <w:rFonts w:hint="eastAsia" w:ascii="宋体" w:hAnsi="宋体" w:cs="宋体"/>
          <w:color w:val="auto"/>
          <w:sz w:val="22"/>
          <w:szCs w:val="22"/>
          <w:highlight w:val="none"/>
          <w:u w:val="single"/>
        </w:rPr>
        <w:t xml:space="preserve">      </w:t>
      </w:r>
      <w:r>
        <w:rPr>
          <w:rFonts w:hint="eastAsia" w:ascii="宋体" w:hAnsi="宋体" w:cs="宋体"/>
          <w:color w:val="auto"/>
          <w:sz w:val="22"/>
          <w:szCs w:val="22"/>
          <w:highlight w:val="none"/>
        </w:rPr>
        <w:t>年</w:t>
      </w:r>
      <w:r>
        <w:rPr>
          <w:rFonts w:hint="eastAsia" w:ascii="宋体" w:hAnsi="宋体" w:cs="宋体"/>
          <w:color w:val="auto"/>
          <w:sz w:val="22"/>
          <w:szCs w:val="22"/>
          <w:highlight w:val="none"/>
          <w:u w:val="single"/>
        </w:rPr>
        <w:t xml:space="preserve">    </w:t>
      </w:r>
      <w:r>
        <w:rPr>
          <w:rFonts w:hint="eastAsia" w:ascii="宋体" w:hAnsi="宋体" w:cs="宋体"/>
          <w:color w:val="auto"/>
          <w:sz w:val="22"/>
          <w:szCs w:val="22"/>
          <w:highlight w:val="none"/>
        </w:rPr>
        <w:t>月</w:t>
      </w:r>
      <w:r>
        <w:rPr>
          <w:rFonts w:hint="eastAsia" w:ascii="宋体" w:hAnsi="宋体" w:cs="宋体"/>
          <w:color w:val="auto"/>
          <w:sz w:val="22"/>
          <w:szCs w:val="22"/>
          <w:highlight w:val="none"/>
          <w:u w:val="single"/>
        </w:rPr>
        <w:t xml:space="preserve">     </w:t>
      </w:r>
      <w:r>
        <w:rPr>
          <w:rFonts w:hint="eastAsia" w:ascii="宋体" w:hAnsi="宋体" w:cs="宋体"/>
          <w:color w:val="auto"/>
          <w:sz w:val="22"/>
          <w:szCs w:val="22"/>
          <w:highlight w:val="none"/>
        </w:rPr>
        <w:t>日</w:t>
      </w:r>
    </w:p>
    <w:p w14:paraId="7AB7CAFF">
      <w:pPr>
        <w:spacing w:before="312" w:beforeLines="100" w:after="156" w:afterLines="50" w:line="520" w:lineRule="exact"/>
        <w:jc w:val="center"/>
        <w:rPr>
          <w:rFonts w:ascii="宋体" w:hAnsi="宋体" w:cs="宋体"/>
          <w:bCs/>
          <w:color w:val="auto"/>
          <w:sz w:val="44"/>
          <w:szCs w:val="44"/>
          <w:highlight w:val="none"/>
        </w:rPr>
      </w:pPr>
    </w:p>
    <w:p w14:paraId="04B079E7">
      <w:pPr>
        <w:spacing w:before="312" w:beforeLines="100" w:after="156" w:afterLines="50" w:line="520" w:lineRule="exact"/>
        <w:jc w:val="center"/>
        <w:rPr>
          <w:rFonts w:ascii="宋体" w:hAnsi="宋体" w:cs="宋体"/>
          <w:bCs/>
          <w:color w:val="auto"/>
          <w:sz w:val="44"/>
          <w:szCs w:val="44"/>
          <w:highlight w:val="none"/>
        </w:rPr>
      </w:pPr>
    </w:p>
    <w:p w14:paraId="1C4FB143">
      <w:pPr>
        <w:spacing w:before="312" w:beforeLines="100" w:after="156" w:afterLines="50" w:line="520" w:lineRule="exact"/>
        <w:jc w:val="center"/>
        <w:rPr>
          <w:rFonts w:ascii="宋体" w:hAnsi="宋体" w:cs="宋体"/>
          <w:bCs/>
          <w:color w:val="auto"/>
          <w:sz w:val="44"/>
          <w:szCs w:val="44"/>
          <w:highlight w:val="none"/>
        </w:rPr>
      </w:pPr>
    </w:p>
    <w:p w14:paraId="72E96CCB">
      <w:pPr>
        <w:snapToGrid w:val="0"/>
        <w:spacing w:before="156" w:beforeLines="50" w:after="50"/>
        <w:jc w:val="center"/>
        <w:rPr>
          <w:rFonts w:ascii="宋体" w:hAnsi="宋体" w:cs="宋体"/>
          <w:color w:val="auto"/>
          <w:sz w:val="44"/>
          <w:szCs w:val="44"/>
          <w:highlight w:val="none"/>
        </w:rPr>
      </w:pPr>
    </w:p>
    <w:p w14:paraId="566A67FB">
      <w:pPr>
        <w:spacing w:line="520" w:lineRule="exact"/>
        <w:jc w:val="center"/>
        <w:outlineLvl w:val="0"/>
        <w:rPr>
          <w:rFonts w:ascii="方正小标宋简体" w:hAnsi="方正小标宋简体" w:eastAsia="方正小标宋简体" w:cs="方正小标宋简体"/>
          <w:bCs/>
          <w:color w:val="auto"/>
          <w:sz w:val="32"/>
          <w:szCs w:val="32"/>
          <w:highlight w:val="none"/>
        </w:rPr>
      </w:pPr>
      <w:r>
        <w:rPr>
          <w:rFonts w:ascii="宋体" w:hAnsi="宋体" w:cs="宋体"/>
          <w:color w:val="auto"/>
          <w:sz w:val="44"/>
          <w:szCs w:val="44"/>
          <w:highlight w:val="none"/>
        </w:rPr>
        <w:br w:type="page"/>
      </w:r>
      <w:r>
        <w:rPr>
          <w:rFonts w:hint="eastAsia" w:ascii="方正小标宋简体" w:hAnsi="方正小标宋简体" w:eastAsia="方正小标宋简体" w:cs="方正小标宋简体"/>
          <w:bCs/>
          <w:color w:val="auto"/>
          <w:sz w:val="44"/>
          <w:szCs w:val="44"/>
          <w:highlight w:val="none"/>
        </w:rPr>
        <w:t>竞标报价表</w:t>
      </w:r>
    </w:p>
    <w:p w14:paraId="2BCDF6A9">
      <w:pPr>
        <w:spacing w:line="440" w:lineRule="exact"/>
        <w:jc w:val="center"/>
        <w:rPr>
          <w:rFonts w:ascii="方正小标宋简体" w:hAnsi="方正小标宋简体" w:eastAsia="方正小标宋简体" w:cs="方正小标宋简体"/>
          <w:bCs/>
          <w:color w:val="auto"/>
          <w:sz w:val="32"/>
          <w:szCs w:val="32"/>
          <w:highlight w:val="none"/>
        </w:rPr>
      </w:pPr>
    </w:p>
    <w:p w14:paraId="16EBDC0D">
      <w:pPr>
        <w:snapToGrid w:val="0"/>
        <w:spacing w:before="50" w:after="50" w:line="360" w:lineRule="auto"/>
        <w:rPr>
          <w:rFonts w:ascii="宋体" w:hAnsi="宋体" w:cs="仿宋_GB2312"/>
          <w:color w:val="auto"/>
          <w:sz w:val="24"/>
          <w:highlight w:val="none"/>
        </w:rPr>
      </w:pPr>
      <w:r>
        <w:rPr>
          <w:rFonts w:hint="eastAsia" w:ascii="宋体" w:hAnsi="宋体" w:cs="仿宋_GB2312"/>
          <w:color w:val="auto"/>
          <w:sz w:val="24"/>
          <w:highlight w:val="none"/>
        </w:rPr>
        <w:t>项目名称：</w:t>
      </w:r>
      <w:r>
        <w:rPr>
          <w:rFonts w:hint="eastAsia" w:ascii="宋体" w:hAnsi="宋体" w:cs="仿宋_GB2312"/>
          <w:color w:val="auto"/>
          <w:sz w:val="24"/>
          <w:highlight w:val="none"/>
          <w:u w:val="single"/>
        </w:rPr>
        <w:t xml:space="preserve">                </w:t>
      </w:r>
      <w:r>
        <w:rPr>
          <w:rFonts w:hint="eastAsia" w:ascii="宋体" w:hAnsi="宋体" w:cs="仿宋_GB2312"/>
          <w:color w:val="auto"/>
          <w:sz w:val="24"/>
          <w:highlight w:val="none"/>
        </w:rPr>
        <w:t>项目编号：</w:t>
      </w:r>
      <w:r>
        <w:rPr>
          <w:rFonts w:hint="eastAsia" w:ascii="宋体" w:hAnsi="宋体" w:cs="仿宋_GB2312"/>
          <w:color w:val="auto"/>
          <w:sz w:val="24"/>
          <w:highlight w:val="none"/>
          <w:u w:val="single"/>
        </w:rPr>
        <w:t xml:space="preserve">                   </w:t>
      </w:r>
      <w:r>
        <w:rPr>
          <w:rFonts w:hint="eastAsia" w:ascii="宋体" w:hAnsi="宋体" w:cs="仿宋_GB2312"/>
          <w:color w:val="auto"/>
          <w:sz w:val="24"/>
          <w:highlight w:val="none"/>
        </w:rPr>
        <w:t xml:space="preserve">     </w:t>
      </w:r>
    </w:p>
    <w:p w14:paraId="1ED13450">
      <w:pPr>
        <w:snapToGrid w:val="0"/>
        <w:spacing w:before="50" w:after="50" w:line="360" w:lineRule="auto"/>
        <w:rPr>
          <w:rFonts w:ascii="宋体" w:hAnsi="宋体" w:cs="仿宋_GB2312"/>
          <w:color w:val="auto"/>
          <w:sz w:val="24"/>
          <w:highlight w:val="none"/>
        </w:rPr>
      </w:pPr>
      <w:r>
        <w:rPr>
          <w:rFonts w:hint="eastAsia" w:ascii="宋体" w:hAnsi="宋体" w:cs="仿宋_GB2312"/>
          <w:color w:val="auto"/>
          <w:sz w:val="24"/>
          <w:highlight w:val="none"/>
        </w:rPr>
        <w:t>供应商名称：</w:t>
      </w:r>
      <w:r>
        <w:rPr>
          <w:rFonts w:hint="eastAsia" w:ascii="宋体" w:hAnsi="宋体" w:cs="仿宋_GB2312"/>
          <w:color w:val="auto"/>
          <w:sz w:val="24"/>
          <w:highlight w:val="none"/>
          <w:u w:val="single"/>
        </w:rPr>
        <w:t xml:space="preserve">                                           </w:t>
      </w:r>
      <w:r>
        <w:rPr>
          <w:rFonts w:hint="eastAsia" w:ascii="宋体" w:hAnsi="宋体" w:cs="仿宋_GB2312"/>
          <w:color w:val="auto"/>
          <w:sz w:val="24"/>
          <w:highlight w:val="none"/>
        </w:rPr>
        <w:t xml:space="preserve">   </w:t>
      </w:r>
    </w:p>
    <w:tbl>
      <w:tblPr>
        <w:tblStyle w:val="31"/>
        <w:tblW w:w="10719"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686"/>
        <w:gridCol w:w="2212"/>
        <w:gridCol w:w="1463"/>
        <w:gridCol w:w="1712"/>
        <w:gridCol w:w="1712"/>
        <w:gridCol w:w="2150"/>
        <w:gridCol w:w="784"/>
      </w:tblGrid>
      <w:tr w14:paraId="176BFBF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6" w:hRule="atLeast"/>
          <w:jc w:val="center"/>
        </w:trPr>
        <w:tc>
          <w:tcPr>
            <w:tcW w:w="686" w:type="dxa"/>
            <w:tcBorders>
              <w:top w:val="single" w:color="auto" w:sz="4" w:space="0"/>
              <w:left w:val="single" w:color="auto" w:sz="4" w:space="0"/>
              <w:bottom w:val="single" w:color="auto" w:sz="4" w:space="0"/>
              <w:right w:val="single" w:color="auto" w:sz="4" w:space="0"/>
            </w:tcBorders>
            <w:noWrap/>
            <w:vAlign w:val="center"/>
          </w:tcPr>
          <w:p w14:paraId="72F8ACD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4"/>
                <w:highlight w:val="none"/>
                <w:lang w:eastAsia="zh-CN"/>
              </w:rPr>
            </w:pPr>
            <w:r>
              <w:rPr>
                <w:rFonts w:hint="eastAsia" w:ascii="宋体" w:hAnsi="宋体" w:eastAsia="宋体" w:cs="宋体"/>
                <w:b/>
                <w:bCs/>
                <w:color w:val="auto"/>
                <w:sz w:val="24"/>
                <w:highlight w:val="none"/>
                <w:lang w:eastAsia="zh-CN"/>
              </w:rPr>
              <w:t>序号</w:t>
            </w:r>
          </w:p>
        </w:tc>
        <w:tc>
          <w:tcPr>
            <w:tcW w:w="2212" w:type="dxa"/>
            <w:tcBorders>
              <w:top w:val="single" w:color="auto" w:sz="4" w:space="0"/>
              <w:left w:val="single" w:color="auto" w:sz="4" w:space="0"/>
              <w:bottom w:val="single" w:color="auto" w:sz="4" w:space="0"/>
              <w:right w:val="single" w:color="auto" w:sz="4" w:space="0"/>
            </w:tcBorders>
            <w:noWrap/>
            <w:vAlign w:val="center"/>
          </w:tcPr>
          <w:p w14:paraId="3B624E59">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4"/>
                <w:highlight w:val="none"/>
                <w:lang w:eastAsia="zh-CN"/>
              </w:rPr>
            </w:pPr>
            <w:r>
              <w:rPr>
                <w:rFonts w:hint="eastAsia" w:ascii="宋体" w:hAnsi="宋体" w:cs="宋体"/>
                <w:b/>
                <w:bCs/>
                <w:color w:val="auto"/>
                <w:sz w:val="24"/>
                <w:highlight w:val="none"/>
                <w:lang w:eastAsia="zh-CN"/>
              </w:rPr>
              <w:t>人员类型</w:t>
            </w:r>
          </w:p>
        </w:tc>
        <w:tc>
          <w:tcPr>
            <w:tcW w:w="1463" w:type="dxa"/>
            <w:tcBorders>
              <w:top w:val="single" w:color="auto" w:sz="4" w:space="0"/>
              <w:left w:val="single" w:color="auto" w:sz="4" w:space="0"/>
              <w:bottom w:val="single" w:color="auto" w:sz="4" w:space="0"/>
              <w:right w:val="single" w:color="auto" w:sz="4" w:space="0"/>
            </w:tcBorders>
            <w:noWrap/>
            <w:vAlign w:val="center"/>
          </w:tcPr>
          <w:p w14:paraId="2724683C">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cs="宋体"/>
                <w:b/>
                <w:bCs/>
                <w:color w:val="auto"/>
                <w:sz w:val="24"/>
                <w:highlight w:val="none"/>
                <w:lang w:eastAsia="zh-CN"/>
              </w:rPr>
            </w:pPr>
            <w:r>
              <w:rPr>
                <w:rFonts w:hint="eastAsia" w:ascii="宋体" w:hAnsi="宋体" w:cs="宋体"/>
                <w:b/>
                <w:bCs/>
                <w:color w:val="auto"/>
                <w:sz w:val="24"/>
                <w:highlight w:val="none"/>
                <w:lang w:eastAsia="zh-CN"/>
              </w:rPr>
              <w:t>天数</w:t>
            </w:r>
          </w:p>
          <w:p w14:paraId="2C6432F9">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cs="宋体"/>
                <w:b/>
                <w:bCs/>
                <w:color w:val="auto"/>
                <w:sz w:val="24"/>
                <w:highlight w:val="none"/>
                <w:lang w:eastAsia="zh-CN"/>
              </w:rPr>
            </w:pPr>
            <w:r>
              <w:rPr>
                <w:rFonts w:hint="eastAsia" w:ascii="宋体" w:hAnsi="宋体" w:cs="宋体"/>
                <w:b/>
                <w:bCs/>
                <w:color w:val="auto"/>
                <w:sz w:val="24"/>
                <w:highlight w:val="none"/>
                <w:lang w:eastAsia="zh-CN"/>
              </w:rPr>
              <w:t>（天）</w:t>
            </w:r>
          </w:p>
          <w:p w14:paraId="3B796575">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4"/>
                <w:highlight w:val="none"/>
              </w:rPr>
            </w:pPr>
            <w:r>
              <w:rPr>
                <w:rFonts w:hint="eastAsia" w:ascii="宋体" w:cs="仿宋_GB2312"/>
                <w:b/>
                <w:bCs/>
                <w:color w:val="auto"/>
                <w:sz w:val="24"/>
                <w:highlight w:val="none"/>
                <w:lang w:bidi="ar-SA"/>
              </w:rPr>
              <w:t>①</w:t>
            </w:r>
          </w:p>
        </w:tc>
        <w:tc>
          <w:tcPr>
            <w:tcW w:w="1712" w:type="dxa"/>
            <w:tcBorders>
              <w:top w:val="single" w:color="auto" w:sz="4" w:space="0"/>
              <w:left w:val="single" w:color="auto" w:sz="4" w:space="0"/>
              <w:bottom w:val="single" w:color="auto" w:sz="4" w:space="0"/>
              <w:right w:val="single" w:color="auto" w:sz="4" w:space="0"/>
            </w:tcBorders>
            <w:noWrap/>
            <w:vAlign w:val="center"/>
          </w:tcPr>
          <w:p w14:paraId="1E44411B">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cs="宋体"/>
                <w:b/>
                <w:bCs/>
                <w:color w:val="auto"/>
                <w:sz w:val="24"/>
                <w:highlight w:val="none"/>
                <w:lang w:val="en" w:eastAsia="zh-CN"/>
              </w:rPr>
            </w:pPr>
            <w:r>
              <w:rPr>
                <w:rFonts w:hint="eastAsia" w:ascii="宋体" w:hAnsi="宋体" w:cs="宋体"/>
                <w:b/>
                <w:bCs/>
                <w:color w:val="auto"/>
                <w:sz w:val="24"/>
                <w:highlight w:val="none"/>
                <w:lang w:val="en" w:eastAsia="zh-CN"/>
              </w:rPr>
              <w:t>人数</w:t>
            </w:r>
          </w:p>
          <w:p w14:paraId="5C5D444A">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cs="宋体"/>
                <w:b/>
                <w:bCs/>
                <w:color w:val="auto"/>
                <w:sz w:val="24"/>
                <w:highlight w:val="none"/>
                <w:lang w:val="en" w:eastAsia="zh-CN"/>
              </w:rPr>
            </w:pPr>
            <w:r>
              <w:rPr>
                <w:rFonts w:hint="eastAsia" w:ascii="宋体" w:hAnsi="宋体" w:cs="宋体"/>
                <w:b/>
                <w:bCs/>
                <w:color w:val="auto"/>
                <w:sz w:val="24"/>
                <w:highlight w:val="none"/>
                <w:lang w:val="en" w:eastAsia="zh-CN"/>
              </w:rPr>
              <w:t>（人）</w:t>
            </w:r>
          </w:p>
          <w:p w14:paraId="55662944">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4"/>
                <w:highlight w:val="none"/>
                <w:lang w:val="en" w:eastAsia="zh-CN"/>
              </w:rPr>
            </w:pPr>
            <w:r>
              <w:rPr>
                <w:rFonts w:hint="eastAsia" w:ascii="宋体" w:hAnsi="宋体" w:eastAsia="宋体" w:cs="宋体"/>
                <w:b/>
                <w:bCs/>
                <w:color w:val="auto"/>
                <w:sz w:val="24"/>
                <w:highlight w:val="none"/>
              </w:rPr>
              <w:t>②</w:t>
            </w:r>
          </w:p>
        </w:tc>
        <w:tc>
          <w:tcPr>
            <w:tcW w:w="1712" w:type="dxa"/>
            <w:tcBorders>
              <w:top w:val="single" w:color="auto" w:sz="4" w:space="0"/>
              <w:left w:val="single" w:color="auto" w:sz="4" w:space="0"/>
              <w:bottom w:val="single" w:color="auto" w:sz="4" w:space="0"/>
              <w:right w:val="single" w:color="auto" w:sz="4" w:space="0"/>
            </w:tcBorders>
            <w:noWrap/>
            <w:vAlign w:val="center"/>
          </w:tcPr>
          <w:p w14:paraId="6519B57C">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4"/>
                <w:highlight w:val="none"/>
                <w:lang w:val="en-US" w:eastAsia="zh-CN"/>
              </w:rPr>
            </w:pPr>
            <w:r>
              <w:rPr>
                <w:rFonts w:hint="eastAsia" w:ascii="宋体" w:hAnsi="宋体" w:cs="宋体"/>
                <w:b/>
                <w:bCs/>
                <w:color w:val="auto"/>
                <w:sz w:val="24"/>
                <w:highlight w:val="none"/>
                <w:lang w:val="en-US" w:eastAsia="zh-CN"/>
              </w:rPr>
              <w:t>人工费综合</w:t>
            </w:r>
            <w:r>
              <w:rPr>
                <w:rFonts w:hint="eastAsia" w:ascii="宋体" w:hAnsi="宋体" w:eastAsia="宋体" w:cs="宋体"/>
                <w:b/>
                <w:bCs/>
                <w:color w:val="auto"/>
                <w:sz w:val="24"/>
                <w:highlight w:val="none"/>
              </w:rPr>
              <w:t>单价</w:t>
            </w:r>
            <w:r>
              <w:rPr>
                <w:rFonts w:hint="eastAsia" w:ascii="宋体" w:hAnsi="宋体" w:cs="宋体"/>
                <w:b/>
                <w:bCs/>
                <w:color w:val="auto"/>
                <w:sz w:val="24"/>
                <w:highlight w:val="none"/>
                <w:lang w:val="en-US" w:eastAsia="zh-CN"/>
              </w:rPr>
              <w:t>报价</w:t>
            </w:r>
          </w:p>
          <w:p w14:paraId="20948312">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（元</w:t>
            </w:r>
            <w:r>
              <w:rPr>
                <w:rFonts w:hint="eastAsia" w:ascii="宋体" w:hAnsi="宋体" w:cs="宋体"/>
                <w:b/>
                <w:bCs/>
                <w:color w:val="auto"/>
                <w:sz w:val="24"/>
                <w:highlight w:val="none"/>
                <w:lang w:val="en-US" w:eastAsia="zh-CN"/>
              </w:rPr>
              <w:t>/人/天</w:t>
            </w:r>
            <w:r>
              <w:rPr>
                <w:rFonts w:hint="eastAsia" w:ascii="宋体" w:hAnsi="宋体" w:eastAsia="宋体" w:cs="宋体"/>
                <w:b/>
                <w:bCs/>
                <w:color w:val="auto"/>
                <w:sz w:val="24"/>
                <w:highlight w:val="none"/>
              </w:rPr>
              <w:t>）</w:t>
            </w:r>
          </w:p>
          <w:p w14:paraId="036C0941">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4"/>
                <w:highlight w:val="none"/>
                <w:lang w:eastAsia="zh-CN"/>
              </w:rPr>
            </w:pPr>
            <w:r>
              <w:rPr>
                <w:rFonts w:hint="eastAsia" w:ascii="宋体" w:hAnsi="宋体" w:eastAsia="宋体" w:cs="宋体"/>
                <w:b/>
                <w:bCs/>
                <w:color w:val="auto"/>
                <w:sz w:val="24"/>
                <w:highlight w:val="none"/>
              </w:rPr>
              <w:t>③</w:t>
            </w:r>
          </w:p>
        </w:tc>
        <w:tc>
          <w:tcPr>
            <w:tcW w:w="2150" w:type="dxa"/>
            <w:tcBorders>
              <w:top w:val="single" w:color="auto" w:sz="4" w:space="0"/>
              <w:left w:val="single" w:color="auto" w:sz="4" w:space="0"/>
              <w:bottom w:val="single" w:color="auto" w:sz="4" w:space="0"/>
              <w:right w:val="single" w:color="auto" w:sz="4" w:space="0"/>
            </w:tcBorders>
            <w:noWrap/>
            <w:vAlign w:val="center"/>
          </w:tcPr>
          <w:p w14:paraId="05D24357">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4"/>
                <w:highlight w:val="none"/>
                <w:lang w:val="en-US" w:eastAsia="zh-CN"/>
              </w:rPr>
            </w:pPr>
            <w:r>
              <w:rPr>
                <w:rFonts w:hint="eastAsia" w:ascii="宋体" w:hAnsi="宋体" w:cs="宋体"/>
                <w:b/>
                <w:bCs/>
                <w:color w:val="auto"/>
                <w:sz w:val="24"/>
                <w:highlight w:val="none"/>
                <w:lang w:val="en-US" w:eastAsia="zh-CN"/>
              </w:rPr>
              <w:t>人工费综合</w:t>
            </w:r>
            <w:r>
              <w:rPr>
                <w:rFonts w:hint="eastAsia" w:ascii="宋体" w:hAnsi="宋体" w:eastAsia="宋体" w:cs="宋体"/>
                <w:b/>
                <w:bCs/>
                <w:color w:val="auto"/>
                <w:sz w:val="24"/>
                <w:highlight w:val="none"/>
              </w:rPr>
              <w:t>单价报价</w:t>
            </w:r>
            <w:r>
              <w:rPr>
                <w:rFonts w:hint="eastAsia" w:ascii="宋体" w:hAnsi="宋体" w:cs="宋体"/>
                <w:b/>
                <w:bCs/>
                <w:color w:val="auto"/>
                <w:sz w:val="24"/>
                <w:highlight w:val="none"/>
                <w:lang w:eastAsia="zh-CN"/>
              </w:rPr>
              <w:t>合计</w:t>
            </w:r>
          </w:p>
          <w:p w14:paraId="26BF7BF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（元/</w:t>
            </w:r>
            <w:r>
              <w:rPr>
                <w:rFonts w:hint="eastAsia" w:ascii="宋体" w:hAnsi="宋体" w:cs="宋体"/>
                <w:b/>
                <w:bCs/>
                <w:color w:val="auto"/>
                <w:sz w:val="24"/>
                <w:highlight w:val="none"/>
                <w:lang w:eastAsia="zh-CN"/>
              </w:rPr>
              <w:t>天</w:t>
            </w:r>
            <w:r>
              <w:rPr>
                <w:rFonts w:hint="eastAsia" w:ascii="宋体" w:hAnsi="宋体" w:eastAsia="宋体" w:cs="宋体"/>
                <w:b/>
                <w:bCs/>
                <w:color w:val="auto"/>
                <w:sz w:val="24"/>
                <w:highlight w:val="none"/>
              </w:rPr>
              <w:t>）</w:t>
            </w:r>
          </w:p>
          <w:p w14:paraId="0668F90D">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4"/>
                <w:highlight w:val="none"/>
              </w:rPr>
            </w:pPr>
            <w:r>
              <w:rPr>
                <w:rFonts w:hint="eastAsia" w:ascii="汉仪书宋二S" w:hAnsi="汉仪书宋二S" w:eastAsia="汉仪书宋二S" w:cs="汉仪书宋二S"/>
                <w:b/>
                <w:bCs/>
                <w:color w:val="auto"/>
                <w:sz w:val="24"/>
                <w:highlight w:val="none"/>
              </w:rPr>
              <w:t>④</w:t>
            </w:r>
            <w:r>
              <w:rPr>
                <w:rFonts w:hint="eastAsia" w:ascii="宋体" w:hAnsi="宋体" w:eastAsia="宋体" w:cs="宋体"/>
                <w:b/>
                <w:bCs/>
                <w:color w:val="auto"/>
                <w:sz w:val="24"/>
                <w:highlight w:val="none"/>
              </w:rPr>
              <w:t>=①×②×③</w:t>
            </w:r>
          </w:p>
        </w:tc>
        <w:tc>
          <w:tcPr>
            <w:tcW w:w="784" w:type="dxa"/>
            <w:tcBorders>
              <w:top w:val="single" w:color="auto" w:sz="4" w:space="0"/>
              <w:left w:val="single" w:color="auto" w:sz="4" w:space="0"/>
              <w:bottom w:val="single" w:color="auto" w:sz="4" w:space="0"/>
              <w:right w:val="single" w:color="auto" w:sz="4" w:space="0"/>
            </w:tcBorders>
            <w:noWrap/>
            <w:vAlign w:val="center"/>
          </w:tcPr>
          <w:p w14:paraId="25C4E47D">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备注</w:t>
            </w:r>
          </w:p>
        </w:tc>
      </w:tr>
      <w:tr w14:paraId="41EB7C9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820" w:hRule="atLeast"/>
          <w:jc w:val="center"/>
        </w:trPr>
        <w:tc>
          <w:tcPr>
            <w:tcW w:w="686" w:type="dxa"/>
            <w:tcBorders>
              <w:top w:val="single" w:color="auto" w:sz="4" w:space="0"/>
              <w:left w:val="single" w:color="auto" w:sz="4" w:space="0"/>
              <w:bottom w:val="single" w:color="auto" w:sz="4" w:space="0"/>
              <w:right w:val="single" w:color="auto" w:sz="4" w:space="0"/>
            </w:tcBorders>
            <w:noWrap/>
            <w:vAlign w:val="center"/>
          </w:tcPr>
          <w:p w14:paraId="1E10A3FA">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1</w:t>
            </w:r>
          </w:p>
        </w:tc>
        <w:tc>
          <w:tcPr>
            <w:tcW w:w="2212" w:type="dxa"/>
            <w:tcBorders>
              <w:top w:val="single" w:color="auto" w:sz="4" w:space="0"/>
              <w:left w:val="single" w:color="auto" w:sz="4" w:space="0"/>
              <w:bottom w:val="single" w:color="auto" w:sz="4" w:space="0"/>
              <w:right w:val="single" w:color="auto" w:sz="4" w:space="0"/>
            </w:tcBorders>
            <w:noWrap/>
            <w:vAlign w:val="center"/>
          </w:tcPr>
          <w:p w14:paraId="57EFDE86">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4"/>
                <w:highlight w:val="none"/>
                <w:lang w:eastAsia="zh-CN"/>
              </w:rPr>
            </w:pPr>
            <w:r>
              <w:rPr>
                <w:rFonts w:hint="eastAsia" w:ascii="宋体" w:hAnsi="宋体" w:cs="宋体"/>
                <w:color w:val="auto"/>
                <w:sz w:val="24"/>
                <w:highlight w:val="none"/>
                <w:lang w:eastAsia="zh-CN"/>
              </w:rPr>
              <w:t>注册会计师（或审计、会计等高级职称）人员</w:t>
            </w:r>
          </w:p>
        </w:tc>
        <w:tc>
          <w:tcPr>
            <w:tcW w:w="1463" w:type="dxa"/>
            <w:tcBorders>
              <w:top w:val="single" w:color="auto" w:sz="4" w:space="0"/>
              <w:left w:val="single" w:color="auto" w:sz="4" w:space="0"/>
              <w:bottom w:val="single" w:color="auto" w:sz="4" w:space="0"/>
              <w:right w:val="single" w:color="auto" w:sz="4" w:space="0"/>
            </w:tcBorders>
            <w:noWrap/>
            <w:vAlign w:val="center"/>
          </w:tcPr>
          <w:p w14:paraId="5177BE7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4"/>
                <w:highlight w:val="none"/>
                <w:lang w:eastAsia="zh-CN"/>
              </w:rPr>
            </w:pPr>
            <w:r>
              <w:rPr>
                <w:rFonts w:hint="eastAsia" w:ascii="宋体" w:hAnsi="宋体" w:cs="宋体"/>
                <w:color w:val="auto"/>
                <w:sz w:val="24"/>
                <w:highlight w:val="none"/>
                <w:lang w:val="en-US" w:eastAsia="zh-CN"/>
              </w:rPr>
              <w:t>1天</w:t>
            </w:r>
          </w:p>
        </w:tc>
        <w:tc>
          <w:tcPr>
            <w:tcW w:w="1712" w:type="dxa"/>
            <w:tcBorders>
              <w:top w:val="single" w:color="auto" w:sz="4" w:space="0"/>
              <w:left w:val="single" w:color="auto" w:sz="4" w:space="0"/>
              <w:bottom w:val="single" w:color="auto" w:sz="4" w:space="0"/>
              <w:right w:val="single" w:color="auto" w:sz="4" w:space="0"/>
            </w:tcBorders>
            <w:noWrap/>
            <w:vAlign w:val="center"/>
          </w:tcPr>
          <w:p w14:paraId="716941B2">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default" w:ascii="宋体" w:hAnsi="宋体" w:eastAsia="宋体" w:cs="宋体"/>
                <w:color w:val="auto"/>
                <w:sz w:val="24"/>
                <w:highlight w:val="none"/>
                <w:lang w:val="en-US" w:eastAsia="zh-CN"/>
              </w:rPr>
            </w:pPr>
            <w:r>
              <w:rPr>
                <w:rFonts w:hint="eastAsia" w:ascii="宋体" w:hAnsi="宋体" w:cs="宋体"/>
                <w:color w:val="auto"/>
                <w:sz w:val="24"/>
                <w:highlight w:val="none"/>
                <w:lang w:val="en-US" w:eastAsia="zh-CN"/>
              </w:rPr>
              <w:t>2人</w:t>
            </w:r>
          </w:p>
        </w:tc>
        <w:tc>
          <w:tcPr>
            <w:tcW w:w="1712" w:type="dxa"/>
            <w:tcBorders>
              <w:top w:val="single" w:color="auto" w:sz="4" w:space="0"/>
              <w:left w:val="single" w:color="auto" w:sz="4" w:space="0"/>
              <w:bottom w:val="single" w:color="auto" w:sz="4" w:space="0"/>
              <w:right w:val="single" w:color="auto" w:sz="4" w:space="0"/>
            </w:tcBorders>
            <w:noWrap/>
            <w:vAlign w:val="center"/>
          </w:tcPr>
          <w:p w14:paraId="4FBC50F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default" w:ascii="宋体" w:hAnsi="宋体" w:eastAsia="宋体" w:cs="宋体"/>
                <w:color w:val="auto"/>
                <w:sz w:val="24"/>
                <w:highlight w:val="none"/>
                <w:lang w:val="en-US" w:eastAsia="zh-CN"/>
              </w:rPr>
            </w:pPr>
          </w:p>
        </w:tc>
        <w:tc>
          <w:tcPr>
            <w:tcW w:w="2150" w:type="dxa"/>
            <w:tcBorders>
              <w:top w:val="single" w:color="auto" w:sz="4" w:space="0"/>
              <w:left w:val="single" w:color="auto" w:sz="4" w:space="0"/>
              <w:bottom w:val="single" w:color="auto" w:sz="4" w:space="0"/>
              <w:right w:val="single" w:color="auto" w:sz="4" w:space="0"/>
            </w:tcBorders>
            <w:noWrap/>
            <w:vAlign w:val="center"/>
          </w:tcPr>
          <w:p w14:paraId="01847341">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color w:val="auto"/>
                <w:highlight w:val="none"/>
              </w:rPr>
            </w:pPr>
          </w:p>
          <w:p w14:paraId="0F7DDEF9">
            <w:pPr>
              <w:pStyle w:val="2"/>
              <w:rPr>
                <w:rFonts w:hint="eastAsia"/>
                <w:color w:val="auto"/>
                <w:highlight w:val="none"/>
              </w:rPr>
            </w:pPr>
          </w:p>
        </w:tc>
        <w:tc>
          <w:tcPr>
            <w:tcW w:w="784" w:type="dxa"/>
            <w:tcBorders>
              <w:top w:val="single" w:color="auto" w:sz="4" w:space="0"/>
              <w:left w:val="single" w:color="auto" w:sz="4" w:space="0"/>
              <w:bottom w:val="single" w:color="auto" w:sz="4" w:space="0"/>
              <w:right w:val="single" w:color="auto" w:sz="4" w:space="0"/>
            </w:tcBorders>
            <w:noWrap/>
            <w:vAlign w:val="center"/>
          </w:tcPr>
          <w:p w14:paraId="2C3BE9F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4"/>
                <w:highlight w:val="none"/>
                <w:lang w:val="en-US" w:eastAsia="zh-CN"/>
              </w:rPr>
            </w:pPr>
          </w:p>
        </w:tc>
      </w:tr>
      <w:tr w14:paraId="111F881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745" w:hRule="atLeast"/>
          <w:jc w:val="center"/>
        </w:trPr>
        <w:tc>
          <w:tcPr>
            <w:tcW w:w="686" w:type="dxa"/>
            <w:tcBorders>
              <w:top w:val="single" w:color="auto" w:sz="4" w:space="0"/>
              <w:left w:val="single" w:color="auto" w:sz="4" w:space="0"/>
              <w:bottom w:val="single" w:color="auto" w:sz="4" w:space="0"/>
              <w:right w:val="single" w:color="auto" w:sz="4" w:space="0"/>
            </w:tcBorders>
            <w:noWrap/>
            <w:vAlign w:val="center"/>
          </w:tcPr>
          <w:p w14:paraId="1A1852FA">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4"/>
                <w:highlight w:val="none"/>
                <w:lang w:eastAsia="zh-CN"/>
              </w:rPr>
            </w:pPr>
            <w:r>
              <w:rPr>
                <w:rFonts w:hint="eastAsia" w:ascii="宋体" w:hAnsi="宋体" w:cs="宋体"/>
                <w:color w:val="auto"/>
                <w:sz w:val="24"/>
                <w:highlight w:val="none"/>
                <w:lang w:val="en-US" w:eastAsia="zh-CN"/>
              </w:rPr>
              <w:t>2</w:t>
            </w:r>
          </w:p>
        </w:tc>
        <w:tc>
          <w:tcPr>
            <w:tcW w:w="2212" w:type="dxa"/>
            <w:tcBorders>
              <w:top w:val="single" w:color="auto" w:sz="4" w:space="0"/>
              <w:left w:val="single" w:color="auto" w:sz="4" w:space="0"/>
              <w:bottom w:val="single" w:color="auto" w:sz="4" w:space="0"/>
              <w:right w:val="single" w:color="auto" w:sz="4" w:space="0"/>
            </w:tcBorders>
            <w:noWrap/>
            <w:vAlign w:val="center"/>
          </w:tcPr>
          <w:p w14:paraId="1BB9DD1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default" w:ascii="宋体" w:hAnsi="宋体" w:eastAsia="宋体" w:cs="宋体"/>
                <w:color w:val="auto"/>
                <w:sz w:val="24"/>
                <w:highlight w:val="none"/>
                <w:lang w:val="en-US"/>
              </w:rPr>
            </w:pPr>
            <w:r>
              <w:rPr>
                <w:rFonts w:hint="eastAsia" w:ascii="宋体" w:hAnsi="宋体" w:cs="宋体"/>
                <w:color w:val="auto"/>
                <w:sz w:val="24"/>
                <w:highlight w:val="none"/>
                <w:lang w:eastAsia="zh-CN"/>
              </w:rPr>
              <w:t>审计或会计专业中级及以上职称人员</w:t>
            </w:r>
          </w:p>
        </w:tc>
        <w:tc>
          <w:tcPr>
            <w:tcW w:w="1463" w:type="dxa"/>
            <w:tcBorders>
              <w:top w:val="single" w:color="auto" w:sz="4" w:space="0"/>
              <w:left w:val="single" w:color="auto" w:sz="4" w:space="0"/>
              <w:bottom w:val="single" w:color="auto" w:sz="4" w:space="0"/>
              <w:right w:val="single" w:color="auto" w:sz="4" w:space="0"/>
            </w:tcBorders>
            <w:noWrap/>
            <w:vAlign w:val="center"/>
          </w:tcPr>
          <w:p w14:paraId="73961A04">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4"/>
                <w:highlight w:val="none"/>
              </w:rPr>
            </w:pPr>
            <w:r>
              <w:rPr>
                <w:rFonts w:hint="eastAsia" w:ascii="宋体" w:hAnsi="宋体" w:cs="宋体"/>
                <w:color w:val="auto"/>
                <w:sz w:val="24"/>
                <w:highlight w:val="none"/>
                <w:lang w:val="en-US" w:eastAsia="zh-CN"/>
              </w:rPr>
              <w:t>1</w:t>
            </w:r>
            <w:r>
              <w:rPr>
                <w:rFonts w:hint="eastAsia" w:ascii="宋体" w:hAnsi="宋体" w:cs="宋体"/>
                <w:color w:val="auto"/>
                <w:sz w:val="24"/>
                <w:highlight w:val="none"/>
                <w:lang w:eastAsia="zh-CN"/>
              </w:rPr>
              <w:t>天</w:t>
            </w:r>
          </w:p>
        </w:tc>
        <w:tc>
          <w:tcPr>
            <w:tcW w:w="1712" w:type="dxa"/>
            <w:tcBorders>
              <w:top w:val="single" w:color="auto" w:sz="4" w:space="0"/>
              <w:left w:val="single" w:color="auto" w:sz="4" w:space="0"/>
              <w:bottom w:val="single" w:color="auto" w:sz="4" w:space="0"/>
              <w:right w:val="single" w:color="auto" w:sz="4" w:space="0"/>
            </w:tcBorders>
            <w:noWrap/>
            <w:vAlign w:val="center"/>
          </w:tcPr>
          <w:p w14:paraId="7F4376A4">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default" w:ascii="宋体" w:hAnsi="宋体" w:eastAsia="宋体" w:cs="宋体"/>
                <w:color w:val="auto"/>
                <w:sz w:val="24"/>
                <w:highlight w:val="none"/>
                <w:lang w:val="en-US" w:eastAsia="zh-CN"/>
              </w:rPr>
            </w:pPr>
            <w:r>
              <w:rPr>
                <w:rFonts w:hint="eastAsia" w:ascii="宋体" w:hAnsi="宋体" w:cs="宋体"/>
                <w:color w:val="auto"/>
                <w:sz w:val="24"/>
                <w:highlight w:val="none"/>
                <w:lang w:val="en-US" w:eastAsia="zh-CN"/>
              </w:rPr>
              <w:t>6人</w:t>
            </w:r>
          </w:p>
        </w:tc>
        <w:tc>
          <w:tcPr>
            <w:tcW w:w="1712" w:type="dxa"/>
            <w:tcBorders>
              <w:top w:val="single" w:color="auto" w:sz="4" w:space="0"/>
              <w:left w:val="single" w:color="auto" w:sz="4" w:space="0"/>
              <w:bottom w:val="single" w:color="auto" w:sz="4" w:space="0"/>
              <w:right w:val="single" w:color="auto" w:sz="4" w:space="0"/>
            </w:tcBorders>
            <w:noWrap/>
            <w:vAlign w:val="center"/>
          </w:tcPr>
          <w:p w14:paraId="6F9FA7F9">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default" w:ascii="宋体" w:hAnsi="宋体" w:eastAsia="宋体" w:cs="宋体"/>
                <w:color w:val="auto"/>
                <w:sz w:val="24"/>
                <w:highlight w:val="none"/>
                <w:lang w:val="en-US" w:eastAsia="zh-CN"/>
              </w:rPr>
            </w:pPr>
          </w:p>
        </w:tc>
        <w:tc>
          <w:tcPr>
            <w:tcW w:w="2150" w:type="dxa"/>
            <w:tcBorders>
              <w:top w:val="single" w:color="auto" w:sz="4" w:space="0"/>
              <w:left w:val="single" w:color="auto" w:sz="4" w:space="0"/>
              <w:bottom w:val="single" w:color="auto" w:sz="4" w:space="0"/>
              <w:right w:val="single" w:color="auto" w:sz="4" w:space="0"/>
            </w:tcBorders>
            <w:noWrap/>
            <w:vAlign w:val="center"/>
          </w:tcPr>
          <w:p w14:paraId="1DD1A9F4">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4"/>
                <w:highlight w:val="none"/>
              </w:rPr>
            </w:pPr>
          </w:p>
        </w:tc>
        <w:tc>
          <w:tcPr>
            <w:tcW w:w="784" w:type="dxa"/>
            <w:tcBorders>
              <w:top w:val="single" w:color="auto" w:sz="4" w:space="0"/>
              <w:left w:val="single" w:color="auto" w:sz="4" w:space="0"/>
              <w:bottom w:val="single" w:color="auto" w:sz="4" w:space="0"/>
              <w:right w:val="single" w:color="auto" w:sz="4" w:space="0"/>
            </w:tcBorders>
            <w:noWrap/>
            <w:vAlign w:val="center"/>
          </w:tcPr>
          <w:p w14:paraId="2D1F3784">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4"/>
                <w:highlight w:val="none"/>
                <w:lang w:val="en-US" w:eastAsia="zh-CN"/>
              </w:rPr>
            </w:pPr>
          </w:p>
        </w:tc>
      </w:tr>
      <w:tr w14:paraId="40610AA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080" w:hRule="atLeast"/>
          <w:jc w:val="center"/>
        </w:trPr>
        <w:tc>
          <w:tcPr>
            <w:tcW w:w="686" w:type="dxa"/>
            <w:tcBorders>
              <w:top w:val="single" w:color="auto" w:sz="4" w:space="0"/>
              <w:left w:val="single" w:color="auto" w:sz="4" w:space="0"/>
              <w:bottom w:val="single" w:color="auto" w:sz="4" w:space="0"/>
              <w:right w:val="single" w:color="auto" w:sz="4" w:space="0"/>
            </w:tcBorders>
            <w:noWrap/>
            <w:vAlign w:val="center"/>
          </w:tcPr>
          <w:p w14:paraId="0D2DBDA2">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default" w:ascii="宋体" w:hAnsi="宋体" w:cs="宋体"/>
                <w:color w:val="auto"/>
                <w:sz w:val="24"/>
                <w:highlight w:val="none"/>
                <w:lang w:val="en-US" w:eastAsia="zh-CN"/>
              </w:rPr>
            </w:pPr>
            <w:r>
              <w:rPr>
                <w:rFonts w:hint="eastAsia" w:ascii="宋体" w:hAnsi="宋体" w:cs="宋体"/>
                <w:color w:val="auto"/>
                <w:sz w:val="24"/>
                <w:highlight w:val="none"/>
                <w:lang w:val="en-US" w:eastAsia="zh-CN"/>
              </w:rPr>
              <w:t>3</w:t>
            </w:r>
          </w:p>
        </w:tc>
        <w:tc>
          <w:tcPr>
            <w:tcW w:w="2212" w:type="dxa"/>
            <w:tcBorders>
              <w:top w:val="single" w:color="auto" w:sz="4" w:space="0"/>
              <w:left w:val="single" w:color="auto" w:sz="4" w:space="0"/>
              <w:bottom w:val="single" w:color="auto" w:sz="4" w:space="0"/>
              <w:right w:val="single" w:color="auto" w:sz="4" w:space="0"/>
            </w:tcBorders>
            <w:noWrap/>
            <w:vAlign w:val="center"/>
          </w:tcPr>
          <w:p w14:paraId="0050754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4"/>
                <w:highlight w:val="none"/>
              </w:rPr>
            </w:pPr>
            <w:r>
              <w:rPr>
                <w:rFonts w:hint="default" w:ascii="宋体" w:hAnsi="宋体" w:cs="宋体"/>
                <w:color w:val="auto"/>
                <w:sz w:val="24"/>
                <w:highlight w:val="none"/>
                <w:lang w:val="en-US" w:eastAsia="zh-CN"/>
              </w:rPr>
              <w:t>具有政府采购</w:t>
            </w:r>
            <w:r>
              <w:rPr>
                <w:rFonts w:hint="eastAsia" w:ascii="宋体" w:hAnsi="宋体" w:cs="宋体"/>
                <w:color w:val="auto"/>
                <w:sz w:val="24"/>
                <w:highlight w:val="none"/>
                <w:lang w:val="en-US" w:eastAsia="zh-CN"/>
              </w:rPr>
              <w:t>、招标投标专业知识、</w:t>
            </w:r>
            <w:r>
              <w:rPr>
                <w:rFonts w:hint="default" w:ascii="宋体" w:hAnsi="宋体" w:cs="宋体"/>
                <w:color w:val="auto"/>
                <w:sz w:val="24"/>
                <w:highlight w:val="none"/>
                <w:lang w:val="en-US" w:eastAsia="zh-CN"/>
              </w:rPr>
              <w:t>工程</w:t>
            </w:r>
            <w:r>
              <w:rPr>
                <w:rFonts w:hint="eastAsia" w:ascii="宋体" w:hAnsi="宋体" w:cs="宋体"/>
                <w:color w:val="auto"/>
                <w:sz w:val="24"/>
                <w:highlight w:val="none"/>
                <w:lang w:val="en-US" w:eastAsia="zh-CN"/>
              </w:rPr>
              <w:t>造价或工程招投标审核等类似</w:t>
            </w:r>
            <w:r>
              <w:rPr>
                <w:rFonts w:hint="default" w:ascii="宋体" w:hAnsi="宋体" w:cs="宋体"/>
                <w:color w:val="auto"/>
                <w:sz w:val="24"/>
                <w:highlight w:val="none"/>
                <w:lang w:eastAsia="zh-CN"/>
              </w:rPr>
              <w:t>审计能力</w:t>
            </w:r>
            <w:r>
              <w:rPr>
                <w:rFonts w:hint="eastAsia" w:ascii="宋体" w:hAnsi="宋体" w:eastAsia="宋体" w:cs="宋体"/>
                <w:color w:val="auto"/>
                <w:sz w:val="24"/>
                <w:szCs w:val="24"/>
                <w:highlight w:val="none"/>
              </w:rPr>
              <w:t>的</w:t>
            </w:r>
            <w:r>
              <w:rPr>
                <w:rFonts w:hint="eastAsia" w:ascii="宋体" w:hAnsi="宋体" w:cs="宋体"/>
                <w:color w:val="auto"/>
                <w:sz w:val="24"/>
                <w:szCs w:val="24"/>
                <w:highlight w:val="none"/>
                <w:lang w:eastAsia="zh-CN"/>
              </w:rPr>
              <w:t>专业</w:t>
            </w:r>
            <w:r>
              <w:rPr>
                <w:rFonts w:hint="eastAsia" w:ascii="宋体" w:hAnsi="宋体" w:eastAsia="宋体" w:cs="宋体"/>
                <w:color w:val="auto"/>
                <w:sz w:val="24"/>
                <w:szCs w:val="24"/>
                <w:highlight w:val="none"/>
              </w:rPr>
              <w:t>人员</w:t>
            </w:r>
          </w:p>
        </w:tc>
        <w:tc>
          <w:tcPr>
            <w:tcW w:w="1463" w:type="dxa"/>
            <w:tcBorders>
              <w:top w:val="single" w:color="auto" w:sz="4" w:space="0"/>
              <w:left w:val="single" w:color="auto" w:sz="4" w:space="0"/>
              <w:bottom w:val="single" w:color="auto" w:sz="4" w:space="0"/>
              <w:right w:val="single" w:color="auto" w:sz="4" w:space="0"/>
            </w:tcBorders>
            <w:noWrap/>
            <w:vAlign w:val="center"/>
          </w:tcPr>
          <w:p w14:paraId="6675DFB6">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4"/>
                <w:highlight w:val="none"/>
              </w:rPr>
            </w:pPr>
            <w:r>
              <w:rPr>
                <w:rFonts w:hint="eastAsia" w:ascii="宋体" w:hAnsi="宋体" w:cs="宋体"/>
                <w:color w:val="auto"/>
                <w:sz w:val="24"/>
                <w:highlight w:val="none"/>
                <w:lang w:val="en-US" w:eastAsia="zh-CN"/>
              </w:rPr>
              <w:t>1</w:t>
            </w:r>
            <w:r>
              <w:rPr>
                <w:rFonts w:hint="eastAsia" w:ascii="宋体" w:hAnsi="宋体" w:cs="宋体"/>
                <w:color w:val="auto"/>
                <w:sz w:val="24"/>
                <w:highlight w:val="none"/>
                <w:lang w:eastAsia="zh-CN"/>
              </w:rPr>
              <w:t>天</w:t>
            </w:r>
          </w:p>
        </w:tc>
        <w:tc>
          <w:tcPr>
            <w:tcW w:w="1712" w:type="dxa"/>
            <w:tcBorders>
              <w:top w:val="single" w:color="auto" w:sz="4" w:space="0"/>
              <w:left w:val="single" w:color="auto" w:sz="4" w:space="0"/>
              <w:bottom w:val="single" w:color="auto" w:sz="4" w:space="0"/>
              <w:right w:val="single" w:color="auto" w:sz="4" w:space="0"/>
            </w:tcBorders>
            <w:noWrap/>
            <w:vAlign w:val="center"/>
          </w:tcPr>
          <w:p w14:paraId="5ED2500D">
            <w:pPr>
              <w:pStyle w:val="2"/>
              <w:rPr>
                <w:rFonts w:hint="default"/>
                <w:color w:val="auto"/>
                <w:highlight w:val="none"/>
                <w:lang w:val="en-US" w:eastAsia="zh-CN"/>
              </w:rPr>
            </w:pPr>
            <w:r>
              <w:rPr>
                <w:rFonts w:hint="eastAsia" w:ascii="宋体" w:hAnsi="宋体" w:eastAsia="宋体" w:cs="宋体"/>
                <w:color w:val="auto"/>
                <w:kern w:val="2"/>
                <w:sz w:val="24"/>
                <w:szCs w:val="24"/>
                <w:highlight w:val="none"/>
                <w:lang w:val="en-US" w:eastAsia="zh-CN"/>
              </w:rPr>
              <w:t>2人</w:t>
            </w:r>
          </w:p>
        </w:tc>
        <w:tc>
          <w:tcPr>
            <w:tcW w:w="1712" w:type="dxa"/>
            <w:tcBorders>
              <w:top w:val="single" w:color="auto" w:sz="4" w:space="0"/>
              <w:left w:val="single" w:color="auto" w:sz="4" w:space="0"/>
              <w:bottom w:val="single" w:color="auto" w:sz="4" w:space="0"/>
              <w:right w:val="single" w:color="auto" w:sz="4" w:space="0"/>
            </w:tcBorders>
            <w:noWrap/>
            <w:vAlign w:val="center"/>
          </w:tcPr>
          <w:p w14:paraId="5E46B3D1">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default"/>
                <w:color w:val="auto"/>
                <w:highlight w:val="none"/>
                <w:lang w:val="en-US" w:eastAsia="zh-CN"/>
              </w:rPr>
            </w:pPr>
          </w:p>
          <w:p w14:paraId="53A52C8B">
            <w:pPr>
              <w:pStyle w:val="2"/>
              <w:rPr>
                <w:rFonts w:hint="default"/>
                <w:color w:val="auto"/>
                <w:highlight w:val="none"/>
                <w:lang w:val="en-US" w:eastAsia="zh-CN"/>
              </w:rPr>
            </w:pPr>
          </w:p>
        </w:tc>
        <w:tc>
          <w:tcPr>
            <w:tcW w:w="2150" w:type="dxa"/>
            <w:tcBorders>
              <w:top w:val="single" w:color="auto" w:sz="4" w:space="0"/>
              <w:left w:val="single" w:color="auto" w:sz="4" w:space="0"/>
              <w:bottom w:val="single" w:color="auto" w:sz="4" w:space="0"/>
              <w:right w:val="single" w:color="auto" w:sz="4" w:space="0"/>
            </w:tcBorders>
            <w:noWrap/>
            <w:vAlign w:val="center"/>
          </w:tcPr>
          <w:p w14:paraId="1C70DD9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4"/>
                <w:highlight w:val="none"/>
              </w:rPr>
            </w:pPr>
          </w:p>
        </w:tc>
        <w:tc>
          <w:tcPr>
            <w:tcW w:w="784" w:type="dxa"/>
            <w:tcBorders>
              <w:top w:val="single" w:color="auto" w:sz="4" w:space="0"/>
              <w:left w:val="single" w:color="auto" w:sz="4" w:space="0"/>
              <w:bottom w:val="single" w:color="auto" w:sz="4" w:space="0"/>
              <w:right w:val="single" w:color="auto" w:sz="4" w:space="0"/>
            </w:tcBorders>
            <w:noWrap/>
            <w:vAlign w:val="center"/>
          </w:tcPr>
          <w:p w14:paraId="6B762B69">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4"/>
                <w:highlight w:val="none"/>
                <w:lang w:val="en-US" w:eastAsia="zh-CN"/>
              </w:rPr>
            </w:pPr>
          </w:p>
        </w:tc>
      </w:tr>
      <w:tr w14:paraId="5BB155F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20" w:hRule="atLeast"/>
          <w:jc w:val="center"/>
        </w:trPr>
        <w:tc>
          <w:tcPr>
            <w:tcW w:w="2898" w:type="dxa"/>
            <w:gridSpan w:val="2"/>
            <w:tcBorders>
              <w:top w:val="single" w:color="auto" w:sz="4" w:space="0"/>
              <w:left w:val="single" w:color="auto" w:sz="4" w:space="0"/>
              <w:bottom w:val="single" w:color="auto" w:sz="4" w:space="0"/>
              <w:right w:val="single" w:color="auto" w:sz="4" w:space="0"/>
            </w:tcBorders>
            <w:noWrap/>
            <w:vAlign w:val="center"/>
          </w:tcPr>
          <w:p w14:paraId="71919B8B">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default" w:ascii="宋体" w:hAnsi="宋体" w:eastAsia="宋体" w:cs="宋体"/>
                <w:color w:val="auto"/>
                <w:sz w:val="24"/>
                <w:highlight w:val="none"/>
                <w:lang w:val="en-US" w:eastAsia="zh-CN"/>
              </w:rPr>
            </w:pPr>
            <w:r>
              <w:rPr>
                <w:rFonts w:hint="eastAsia" w:ascii="宋体" w:hAnsi="宋体" w:cs="宋体"/>
                <w:color w:val="auto"/>
                <w:sz w:val="24"/>
                <w:highlight w:val="none"/>
                <w:lang w:val="en-US" w:eastAsia="zh-CN"/>
              </w:rPr>
              <w:t>报价合计</w:t>
            </w:r>
          </w:p>
        </w:tc>
        <w:tc>
          <w:tcPr>
            <w:tcW w:w="1463" w:type="dxa"/>
            <w:tcBorders>
              <w:top w:val="single" w:color="auto" w:sz="4" w:space="0"/>
              <w:left w:val="single" w:color="auto" w:sz="4" w:space="0"/>
              <w:bottom w:val="single" w:color="auto" w:sz="4" w:space="0"/>
              <w:right w:val="single" w:color="auto" w:sz="4" w:space="0"/>
            </w:tcBorders>
            <w:noWrap/>
            <w:vAlign w:val="center"/>
          </w:tcPr>
          <w:p w14:paraId="0B099FF5">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default" w:ascii="宋体" w:hAnsi="宋体" w:cs="宋体"/>
                <w:color w:val="auto"/>
                <w:sz w:val="24"/>
                <w:highlight w:val="none"/>
                <w:lang w:val="en-US" w:eastAsia="zh-CN"/>
              </w:rPr>
            </w:pPr>
            <w:r>
              <w:rPr>
                <w:rFonts w:hint="eastAsia" w:ascii="宋体" w:hAnsi="宋体" w:cs="宋体"/>
                <w:color w:val="auto"/>
                <w:sz w:val="24"/>
                <w:highlight w:val="none"/>
                <w:lang w:val="en-US" w:eastAsia="zh-CN"/>
              </w:rPr>
              <w:t>1天</w:t>
            </w:r>
          </w:p>
        </w:tc>
        <w:tc>
          <w:tcPr>
            <w:tcW w:w="1712" w:type="dxa"/>
            <w:tcBorders>
              <w:top w:val="single" w:color="auto" w:sz="4" w:space="0"/>
              <w:left w:val="single" w:color="auto" w:sz="4" w:space="0"/>
              <w:bottom w:val="single" w:color="auto" w:sz="4" w:space="0"/>
              <w:right w:val="single" w:color="auto" w:sz="4" w:space="0"/>
            </w:tcBorders>
            <w:noWrap/>
            <w:vAlign w:val="center"/>
          </w:tcPr>
          <w:p w14:paraId="52F70919">
            <w:pPr>
              <w:pStyle w:val="2"/>
              <w:rPr>
                <w:rFonts w:hint="default" w:ascii="宋体" w:hAnsi="宋体" w:eastAsia="宋体" w:cs="宋体"/>
                <w:color w:val="auto"/>
                <w:kern w:val="2"/>
                <w:sz w:val="24"/>
                <w:szCs w:val="24"/>
                <w:highlight w:val="none"/>
                <w:lang w:val="en-US" w:eastAsia="zh-CN"/>
              </w:rPr>
            </w:pPr>
            <w:r>
              <w:rPr>
                <w:rFonts w:hint="eastAsia" w:ascii="宋体" w:hAnsi="宋体" w:eastAsia="宋体" w:cs="宋体"/>
                <w:color w:val="auto"/>
                <w:kern w:val="2"/>
                <w:sz w:val="24"/>
                <w:szCs w:val="24"/>
                <w:highlight w:val="none"/>
                <w:lang w:val="en-US" w:eastAsia="zh-CN"/>
              </w:rPr>
              <w:t>10人</w:t>
            </w:r>
          </w:p>
        </w:tc>
        <w:tc>
          <w:tcPr>
            <w:tcW w:w="1712" w:type="dxa"/>
            <w:tcBorders>
              <w:top w:val="single" w:color="auto" w:sz="4" w:space="0"/>
              <w:left w:val="single" w:color="auto" w:sz="4" w:space="0"/>
              <w:bottom w:val="single" w:color="auto" w:sz="4" w:space="0"/>
              <w:right w:val="single" w:color="auto" w:sz="4" w:space="0"/>
            </w:tcBorders>
            <w:noWrap/>
            <w:vAlign w:val="center"/>
          </w:tcPr>
          <w:p w14:paraId="5EE249A2">
            <w:pPr>
              <w:pStyle w:val="2"/>
              <w:rPr>
                <w:rFonts w:hint="default"/>
                <w:color w:val="auto"/>
                <w:highlight w:val="none"/>
                <w:lang w:val="en-US" w:eastAsia="zh-CN"/>
              </w:rPr>
            </w:pPr>
          </w:p>
        </w:tc>
        <w:tc>
          <w:tcPr>
            <w:tcW w:w="2150" w:type="dxa"/>
            <w:tcBorders>
              <w:top w:val="single" w:color="auto" w:sz="4" w:space="0"/>
              <w:left w:val="single" w:color="auto" w:sz="4" w:space="0"/>
              <w:bottom w:val="single" w:color="auto" w:sz="4" w:space="0"/>
              <w:right w:val="single" w:color="auto" w:sz="4" w:space="0"/>
            </w:tcBorders>
            <w:noWrap/>
            <w:vAlign w:val="center"/>
          </w:tcPr>
          <w:p w14:paraId="609C9A4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4"/>
                <w:highlight w:val="none"/>
              </w:rPr>
            </w:pPr>
          </w:p>
        </w:tc>
        <w:tc>
          <w:tcPr>
            <w:tcW w:w="784" w:type="dxa"/>
            <w:tcBorders>
              <w:top w:val="single" w:color="auto" w:sz="4" w:space="0"/>
              <w:left w:val="single" w:color="auto" w:sz="4" w:space="0"/>
              <w:bottom w:val="single" w:color="auto" w:sz="4" w:space="0"/>
              <w:right w:val="single" w:color="auto" w:sz="4" w:space="0"/>
            </w:tcBorders>
            <w:noWrap/>
            <w:vAlign w:val="center"/>
          </w:tcPr>
          <w:p w14:paraId="3B5B3A9C">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4"/>
                <w:highlight w:val="none"/>
                <w:lang w:val="en-US" w:eastAsia="zh-CN"/>
              </w:rPr>
            </w:pPr>
          </w:p>
        </w:tc>
      </w:tr>
      <w:tr w14:paraId="047990E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63" w:hRule="atLeast"/>
          <w:jc w:val="center"/>
        </w:trPr>
        <w:tc>
          <w:tcPr>
            <w:tcW w:w="10719" w:type="dxa"/>
            <w:gridSpan w:val="7"/>
            <w:tcBorders>
              <w:top w:val="single" w:color="auto" w:sz="4" w:space="0"/>
              <w:left w:val="single" w:color="auto" w:sz="4" w:space="0"/>
              <w:bottom w:val="single" w:color="auto" w:sz="4" w:space="0"/>
              <w:right w:val="single" w:color="auto" w:sz="4" w:space="0"/>
            </w:tcBorders>
            <w:noWrap/>
            <w:vAlign w:val="top"/>
          </w:tcPr>
          <w:p w14:paraId="6B38C1B7">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left"/>
              <w:textAlignment w:val="auto"/>
              <w:rPr>
                <w:rFonts w:hint="eastAsia" w:ascii="宋体" w:hAnsi="宋体" w:eastAsia="宋体" w:cs="宋体"/>
                <w:color w:val="auto"/>
                <w:sz w:val="24"/>
                <w:highlight w:val="none"/>
              </w:rPr>
            </w:pPr>
            <w:r>
              <w:rPr>
                <w:rFonts w:hint="eastAsia" w:ascii="宋体" w:hAnsi="宋体" w:cs="宋体"/>
                <w:b/>
                <w:bCs/>
                <w:color w:val="auto"/>
                <w:sz w:val="24"/>
                <w:highlight w:val="none"/>
                <w:lang w:val="en-US" w:eastAsia="zh-CN"/>
              </w:rPr>
              <w:t>人工费综合</w:t>
            </w:r>
            <w:r>
              <w:rPr>
                <w:rFonts w:hint="eastAsia" w:ascii="宋体" w:hAnsi="宋体" w:eastAsia="宋体" w:cs="宋体"/>
                <w:b/>
                <w:bCs/>
                <w:color w:val="auto"/>
                <w:sz w:val="24"/>
                <w:highlight w:val="none"/>
              </w:rPr>
              <w:t>单价</w:t>
            </w:r>
            <w:r>
              <w:rPr>
                <w:rFonts w:hint="eastAsia" w:ascii="宋体" w:cs="仿宋_GB2312"/>
                <w:b/>
                <w:bCs/>
                <w:color w:val="auto"/>
                <w:sz w:val="24"/>
                <w:highlight w:val="none"/>
                <w:lang w:bidi="ar-SA"/>
              </w:rPr>
              <w:t>合计金额</w:t>
            </w:r>
            <w:r>
              <w:rPr>
                <w:rFonts w:hint="eastAsia" w:ascii="宋体" w:cs="仿宋_GB2312"/>
                <w:b/>
                <w:bCs/>
                <w:color w:val="auto"/>
                <w:sz w:val="24"/>
                <w:highlight w:val="none"/>
                <w:lang w:eastAsia="zh-CN" w:bidi="ar-SA"/>
              </w:rPr>
              <w:t>（</w:t>
            </w:r>
            <w:r>
              <w:rPr>
                <w:rFonts w:hint="eastAsia" w:ascii="宋体" w:hAnsi="宋体" w:eastAsia="宋体" w:cs="宋体"/>
                <w:b/>
                <w:bCs/>
                <w:color w:val="auto"/>
                <w:sz w:val="24"/>
                <w:highlight w:val="none"/>
              </w:rPr>
              <w:t>元</w:t>
            </w:r>
            <w:r>
              <w:rPr>
                <w:rFonts w:hint="eastAsia" w:ascii="宋体" w:hAnsi="宋体" w:cs="宋体"/>
                <w:b/>
                <w:bCs/>
                <w:color w:val="auto"/>
                <w:sz w:val="24"/>
                <w:highlight w:val="none"/>
                <w:lang w:val="en-US" w:eastAsia="zh-CN"/>
              </w:rPr>
              <w:t>/天/10人</w:t>
            </w:r>
            <w:r>
              <w:rPr>
                <w:rFonts w:hint="eastAsia" w:ascii="宋体" w:cs="仿宋_GB2312"/>
                <w:b/>
                <w:bCs/>
                <w:color w:val="auto"/>
                <w:sz w:val="24"/>
                <w:highlight w:val="none"/>
                <w:lang w:eastAsia="zh-CN" w:bidi="ar-SA"/>
              </w:rPr>
              <w:t>）</w:t>
            </w:r>
            <w:r>
              <w:rPr>
                <w:rFonts w:hint="eastAsia" w:ascii="宋体" w:cs="仿宋_GB2312"/>
                <w:color w:val="auto"/>
                <w:sz w:val="24"/>
                <w:highlight w:val="none"/>
                <w:lang w:eastAsia="zh-CN" w:bidi="ar-SA"/>
              </w:rPr>
              <w:t>：</w:t>
            </w:r>
            <w:r>
              <w:rPr>
                <w:rFonts w:hint="eastAsia" w:ascii="宋体" w:cs="仿宋_GB2312"/>
                <w:color w:val="auto"/>
                <w:sz w:val="24"/>
                <w:highlight w:val="none"/>
                <w:lang w:bidi="ar-SA"/>
              </w:rPr>
              <w:t>人民币</w:t>
            </w:r>
            <w:r>
              <w:rPr>
                <w:rFonts w:hint="eastAsia" w:ascii="宋体" w:cs="仿宋_GB2312"/>
                <w:color w:val="auto"/>
                <w:sz w:val="24"/>
                <w:highlight w:val="none"/>
                <w:lang w:eastAsia="zh-CN" w:bidi="ar-SA"/>
              </w:rPr>
              <w:t>（</w:t>
            </w:r>
            <w:r>
              <w:rPr>
                <w:rFonts w:hint="eastAsia" w:ascii="宋体" w:cs="仿宋_GB2312"/>
                <w:color w:val="auto"/>
                <w:sz w:val="24"/>
                <w:highlight w:val="none"/>
                <w:lang w:bidi="ar-SA"/>
              </w:rPr>
              <w:t>大写</w:t>
            </w:r>
            <w:r>
              <w:rPr>
                <w:rFonts w:hint="eastAsia" w:ascii="宋体" w:cs="仿宋_GB2312"/>
                <w:color w:val="auto"/>
                <w:sz w:val="24"/>
                <w:highlight w:val="none"/>
                <w:lang w:eastAsia="zh-CN" w:bidi="ar-SA"/>
              </w:rPr>
              <w:t>）</w:t>
            </w:r>
            <w:r>
              <w:rPr>
                <w:rFonts w:hint="eastAsia" w:ascii="宋体" w:cs="仿宋_GB2312"/>
                <w:color w:val="auto"/>
                <w:sz w:val="24"/>
                <w:highlight w:val="none"/>
                <w:u w:val="single"/>
                <w:lang w:bidi="ar-SA"/>
              </w:rPr>
              <w:t xml:space="preserve">           </w:t>
            </w:r>
            <w:r>
              <w:rPr>
                <w:rFonts w:hint="eastAsia" w:ascii="宋体" w:cs="仿宋_GB2312"/>
                <w:color w:val="auto"/>
                <w:sz w:val="24"/>
                <w:highlight w:val="none"/>
                <w:lang w:bidi="ar-SA"/>
              </w:rPr>
              <w:t>（</w:t>
            </w:r>
            <w:r>
              <w:rPr>
                <w:rFonts w:hint="eastAsia" w:ascii="宋体" w:cs="仿宋_GB2312"/>
                <w:color w:val="auto"/>
                <w:sz w:val="21"/>
                <w:szCs w:val="21"/>
                <w:highlight w:val="none"/>
                <w:lang w:val="en-US" w:eastAsia="zh-CN" w:bidi="ar-SA"/>
              </w:rPr>
              <w:t>¥</w:t>
            </w:r>
            <w:r>
              <w:rPr>
                <w:rFonts w:hint="eastAsia" w:ascii="宋体" w:cs="仿宋_GB2312"/>
                <w:color w:val="auto"/>
                <w:sz w:val="24"/>
                <w:highlight w:val="none"/>
                <w:u w:val="single"/>
                <w:lang w:bidi="ar-SA"/>
              </w:rPr>
              <w:t xml:space="preserve">           </w:t>
            </w:r>
            <w:r>
              <w:rPr>
                <w:rFonts w:hint="eastAsia" w:ascii="宋体" w:cs="仿宋_GB2312"/>
                <w:color w:val="auto"/>
                <w:sz w:val="24"/>
                <w:highlight w:val="none"/>
                <w:lang w:bidi="ar-SA"/>
              </w:rPr>
              <w:t>）</w:t>
            </w:r>
          </w:p>
        </w:tc>
      </w:tr>
      <w:tr w14:paraId="21A0EF8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68" w:hRule="atLeast"/>
          <w:jc w:val="center"/>
        </w:trPr>
        <w:tc>
          <w:tcPr>
            <w:tcW w:w="10719" w:type="dxa"/>
            <w:gridSpan w:val="7"/>
            <w:tcBorders>
              <w:top w:val="single" w:color="auto" w:sz="4" w:space="0"/>
              <w:left w:val="single" w:color="auto" w:sz="4" w:space="0"/>
              <w:bottom w:val="single" w:color="auto" w:sz="4" w:space="0"/>
              <w:right w:val="single" w:color="auto" w:sz="4" w:space="0"/>
            </w:tcBorders>
            <w:noWrap/>
            <w:vAlign w:val="center"/>
          </w:tcPr>
          <w:p w14:paraId="5BC743E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left"/>
              <w:textAlignment w:val="auto"/>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t>服务期：</w:t>
            </w:r>
          </w:p>
        </w:tc>
      </w:tr>
      <w:tr w14:paraId="550CB5B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811" w:hRule="atLeast"/>
          <w:jc w:val="center"/>
        </w:trPr>
        <w:tc>
          <w:tcPr>
            <w:tcW w:w="10719" w:type="dxa"/>
            <w:gridSpan w:val="7"/>
            <w:tcBorders>
              <w:top w:val="single" w:color="auto" w:sz="4" w:space="0"/>
              <w:left w:val="single" w:color="auto" w:sz="4" w:space="0"/>
              <w:bottom w:val="single" w:color="auto" w:sz="4" w:space="0"/>
              <w:right w:val="single" w:color="auto" w:sz="4" w:space="0"/>
            </w:tcBorders>
            <w:noWrap/>
            <w:vAlign w:val="center"/>
          </w:tcPr>
          <w:p w14:paraId="6582AA4C">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left"/>
              <w:textAlignment w:val="auto"/>
              <w:rPr>
                <w:rFonts w:hint="default" w:ascii="宋体" w:hAnsi="宋体" w:eastAsia="宋体" w:cs="宋体"/>
                <w:color w:val="auto"/>
                <w:sz w:val="24"/>
                <w:highlight w:val="none"/>
                <w:lang w:val="en-US" w:eastAsia="zh-CN"/>
              </w:rPr>
            </w:pPr>
            <w:r>
              <w:rPr>
                <w:rFonts w:hint="eastAsia" w:ascii="宋体" w:hAnsi="宋体" w:cs="宋体"/>
                <w:color w:val="auto"/>
                <w:sz w:val="24"/>
                <w:highlight w:val="none"/>
                <w:lang w:eastAsia="zh-CN"/>
              </w:rPr>
              <w:t>说明：磋商报价是履行合同的最终价格，必须包含但不限于工资、住宿费、差旅费、餐费、税费、保险等供应商全部费用，在合同实施期间，采购人将不予支付协审服务没有列入的项目费用，并认为此项目的费用已包括在报价中，不再另做结算。供应商应加强派出人员安全管理，实施项目审计工作期间如出现</w:t>
            </w:r>
            <w:r>
              <w:rPr>
                <w:rFonts w:hint="eastAsia" w:ascii="宋体" w:hAnsi="宋体" w:cs="宋体"/>
                <w:color w:val="auto"/>
                <w:sz w:val="24"/>
                <w:highlight w:val="none"/>
                <w:lang w:val="en-US" w:eastAsia="zh-CN"/>
              </w:rPr>
              <w:t>协审</w:t>
            </w:r>
            <w:r>
              <w:rPr>
                <w:rFonts w:hint="eastAsia" w:ascii="宋体" w:hAnsi="宋体" w:cs="宋体"/>
                <w:color w:val="auto"/>
                <w:sz w:val="24"/>
                <w:highlight w:val="none"/>
                <w:lang w:eastAsia="zh-CN"/>
              </w:rPr>
              <w:t>人员人身、财产安全事故、损失等由供应商全部负责，采购单位不负任何责任。</w:t>
            </w:r>
          </w:p>
        </w:tc>
      </w:tr>
    </w:tbl>
    <w:p w14:paraId="477AFDE7">
      <w:pPr>
        <w:snapToGrid w:val="0"/>
        <w:spacing w:before="50" w:after="50" w:line="360" w:lineRule="auto"/>
        <w:jc w:val="left"/>
        <w:rPr>
          <w:rFonts w:ascii="宋体" w:hAnsi="宋体" w:cs="仿宋_GB2312"/>
          <w:color w:val="auto"/>
          <w:sz w:val="24"/>
          <w:highlight w:val="none"/>
        </w:rPr>
      </w:pPr>
      <w:r>
        <w:rPr>
          <w:rFonts w:hint="eastAsia" w:ascii="宋体" w:hAnsi="宋体" w:cs="仿宋_GB2312"/>
          <w:color w:val="auto"/>
          <w:sz w:val="24"/>
          <w:highlight w:val="none"/>
        </w:rPr>
        <w:t xml:space="preserve">注： </w:t>
      </w:r>
    </w:p>
    <w:p w14:paraId="0F3C041C">
      <w:pPr>
        <w:snapToGrid w:val="0"/>
        <w:spacing w:before="50" w:after="50" w:line="360" w:lineRule="auto"/>
        <w:ind w:firstLine="480" w:firstLineChars="200"/>
        <w:jc w:val="left"/>
        <w:rPr>
          <w:rFonts w:ascii="宋体" w:hAnsi="宋体" w:cs="仿宋_GB2312"/>
          <w:color w:val="auto"/>
          <w:sz w:val="24"/>
          <w:highlight w:val="none"/>
        </w:rPr>
      </w:pPr>
      <w:r>
        <w:rPr>
          <w:rFonts w:hint="eastAsia" w:ascii="宋体" w:hAnsi="宋体" w:cs="仿宋_GB2312"/>
          <w:color w:val="auto"/>
          <w:sz w:val="24"/>
          <w:highlight w:val="none"/>
        </w:rPr>
        <w:t>1.供应商的报价表必须加盖供应商公章并由法定代表人或者委托代理人签字，</w:t>
      </w:r>
      <w:r>
        <w:rPr>
          <w:rFonts w:hint="eastAsia" w:ascii="宋体" w:hAnsi="宋体" w:cs="仿宋_GB2312"/>
          <w:b/>
          <w:color w:val="auto"/>
          <w:sz w:val="24"/>
          <w:highlight w:val="none"/>
        </w:rPr>
        <w:t>否则其响应文件按无效响应处理</w:t>
      </w:r>
      <w:r>
        <w:rPr>
          <w:rFonts w:hint="eastAsia" w:ascii="宋体" w:hAnsi="宋体" w:cs="仿宋_GB2312"/>
          <w:color w:val="auto"/>
          <w:sz w:val="24"/>
          <w:highlight w:val="none"/>
        </w:rPr>
        <w:t>。</w:t>
      </w:r>
    </w:p>
    <w:p w14:paraId="2F60105E">
      <w:pPr>
        <w:snapToGrid w:val="0"/>
        <w:spacing w:before="50" w:after="50" w:line="360" w:lineRule="auto"/>
        <w:ind w:firstLine="480" w:firstLineChars="200"/>
        <w:jc w:val="left"/>
        <w:rPr>
          <w:rFonts w:ascii="宋体" w:hAnsi="宋体" w:cs="仿宋_GB2312"/>
          <w:color w:val="auto"/>
          <w:sz w:val="24"/>
          <w:highlight w:val="none"/>
        </w:rPr>
      </w:pPr>
      <w:r>
        <w:rPr>
          <w:rFonts w:hint="eastAsia" w:ascii="宋体" w:hAnsi="宋体" w:cs="仿宋_GB2312"/>
          <w:bCs/>
          <w:color w:val="auto"/>
          <w:sz w:val="24"/>
          <w:highlight w:val="none"/>
        </w:rPr>
        <w:t>2.</w:t>
      </w:r>
      <w:r>
        <w:rPr>
          <w:rFonts w:hint="eastAsia" w:ascii="宋体" w:hAnsi="宋体" w:cs="仿宋_GB2312"/>
          <w:color w:val="auto"/>
          <w:sz w:val="24"/>
          <w:highlight w:val="none"/>
        </w:rPr>
        <w:t>报价一经涂改，应在涂改处加盖供应商公章或者由法定代表人或者委托代理人签字或者盖章</w:t>
      </w:r>
      <w:r>
        <w:rPr>
          <w:rFonts w:hint="eastAsia" w:ascii="宋体" w:hAnsi="宋体" w:cs="仿宋_GB2312"/>
          <w:b/>
          <w:color w:val="auto"/>
          <w:sz w:val="24"/>
          <w:highlight w:val="none"/>
        </w:rPr>
        <w:t>，否则其响应文件按无效响应处理。</w:t>
      </w:r>
    </w:p>
    <w:p w14:paraId="66F2EF2A">
      <w:pPr>
        <w:snapToGrid w:val="0"/>
        <w:spacing w:before="50" w:after="50" w:line="360" w:lineRule="auto"/>
        <w:ind w:firstLine="482" w:firstLineChars="200"/>
        <w:jc w:val="left"/>
        <w:rPr>
          <w:rFonts w:hint="eastAsia" w:ascii="宋体" w:hAnsi="宋体" w:eastAsia="宋体" w:cs="仿宋_GB2312"/>
          <w:b/>
          <w:color w:val="auto"/>
          <w:sz w:val="24"/>
          <w:highlight w:val="none"/>
          <w:lang w:val="en-US" w:eastAsia="zh-CN"/>
        </w:rPr>
      </w:pPr>
      <w:r>
        <w:rPr>
          <w:rFonts w:hint="eastAsia" w:ascii="宋体" w:hAnsi="宋体" w:eastAsia="宋体" w:cs="仿宋_GB2312"/>
          <w:b/>
          <w:color w:val="auto"/>
          <w:sz w:val="24"/>
          <w:highlight w:val="none"/>
          <w:lang w:val="en-US" w:eastAsia="zh-CN"/>
        </w:rPr>
        <w:t>3.本项目以人工费综合单价形式报价，人工费综合单价合计报价的最高限价为14736元/天/10人。人工费综合单价的合计报价超过单价合计最高限价的视为无效竞标处理。</w:t>
      </w:r>
    </w:p>
    <w:p w14:paraId="2D46FDF8">
      <w:pPr>
        <w:snapToGrid w:val="0"/>
        <w:spacing w:before="50" w:after="50" w:line="360" w:lineRule="auto"/>
        <w:ind w:firstLine="482" w:firstLineChars="200"/>
        <w:jc w:val="left"/>
        <w:rPr>
          <w:rFonts w:hint="default" w:ascii="宋体" w:hAnsi="宋体" w:eastAsia="宋体" w:cs="仿宋_GB2312"/>
          <w:b/>
          <w:color w:val="auto"/>
          <w:sz w:val="24"/>
          <w:highlight w:val="none"/>
          <w:lang w:val="en-US" w:eastAsia="zh-CN"/>
        </w:rPr>
      </w:pPr>
      <w:r>
        <w:rPr>
          <w:rFonts w:hint="eastAsia" w:ascii="宋体" w:hAnsi="宋体" w:cs="仿宋_GB2312"/>
          <w:b/>
          <w:color w:val="auto"/>
          <w:sz w:val="24"/>
          <w:highlight w:val="none"/>
          <w:lang w:val="en-US" w:eastAsia="zh-CN"/>
        </w:rPr>
        <w:t>4</w:t>
      </w:r>
      <w:r>
        <w:rPr>
          <w:rFonts w:hint="eastAsia" w:ascii="宋体" w:hAnsi="宋体" w:eastAsia="宋体" w:cs="仿宋_GB2312"/>
          <w:b/>
          <w:color w:val="auto"/>
          <w:sz w:val="24"/>
          <w:highlight w:val="none"/>
          <w:lang w:val="en-US" w:eastAsia="zh-CN"/>
        </w:rPr>
        <w:t>.本项目服务期限内采购金额（总结算金额）不能超过本项目采购预算金额。本项目拟定年服务工作量（服务日）暂定为23.75天/组，结算时，按照实际天数和人工费综合单价报价进行结算，最终年度结算总额费用不得超过最高限价35万元/年，2年费用结算总额费用不得超过最高限价70万元。</w:t>
      </w:r>
    </w:p>
    <w:p w14:paraId="45F38BCA">
      <w:pPr>
        <w:snapToGrid w:val="0"/>
        <w:spacing w:before="50" w:after="50" w:line="360" w:lineRule="auto"/>
        <w:ind w:right="-817" w:rightChars="-389" w:firstLine="960" w:firstLineChars="400"/>
        <w:rPr>
          <w:rFonts w:hint="eastAsia" w:ascii="宋体" w:hAnsi="宋体" w:cs="仿宋_GB2312"/>
          <w:color w:val="auto"/>
          <w:sz w:val="24"/>
          <w:highlight w:val="none"/>
        </w:rPr>
      </w:pPr>
    </w:p>
    <w:p w14:paraId="2769DB7B">
      <w:pPr>
        <w:snapToGrid w:val="0"/>
        <w:spacing w:before="50" w:after="50" w:line="360" w:lineRule="auto"/>
        <w:ind w:right="-817" w:rightChars="-389" w:firstLine="960" w:firstLineChars="400"/>
        <w:rPr>
          <w:rFonts w:ascii="宋体" w:hAnsi="宋体" w:cs="仿宋_GB2312"/>
          <w:color w:val="auto"/>
          <w:sz w:val="24"/>
          <w:highlight w:val="none"/>
        </w:rPr>
      </w:pPr>
      <w:r>
        <w:rPr>
          <w:rFonts w:hint="eastAsia" w:ascii="宋体" w:hAnsi="宋体" w:cs="仿宋_GB2312"/>
          <w:color w:val="auto"/>
          <w:sz w:val="24"/>
          <w:highlight w:val="none"/>
        </w:rPr>
        <w:t xml:space="preserve">法定代表人或者委托代理人（签字）：                    </w:t>
      </w:r>
    </w:p>
    <w:p w14:paraId="0DC51DF2">
      <w:pPr>
        <w:snapToGrid w:val="0"/>
        <w:spacing w:before="50" w:after="50" w:line="360" w:lineRule="auto"/>
        <w:ind w:right="-817" w:rightChars="-389" w:firstLine="2880" w:firstLineChars="1200"/>
        <w:rPr>
          <w:rFonts w:ascii="宋体" w:hAnsi="宋体" w:cs="仿宋_GB2312"/>
          <w:color w:val="auto"/>
          <w:sz w:val="24"/>
          <w:highlight w:val="none"/>
        </w:rPr>
      </w:pPr>
      <w:r>
        <w:rPr>
          <w:rFonts w:hint="eastAsia" w:ascii="宋体" w:hAnsi="宋体" w:cs="仿宋_GB2312"/>
          <w:color w:val="auto"/>
          <w:sz w:val="24"/>
          <w:highlight w:val="none"/>
        </w:rPr>
        <w:t xml:space="preserve">供应商（盖公章）：      </w:t>
      </w:r>
    </w:p>
    <w:p w14:paraId="0861C908">
      <w:pPr>
        <w:snapToGrid w:val="0"/>
        <w:spacing w:before="50" w:after="50" w:line="360" w:lineRule="auto"/>
        <w:ind w:right="-817" w:rightChars="-389" w:firstLine="4320" w:firstLineChars="1800"/>
        <w:rPr>
          <w:rFonts w:ascii="宋体" w:hAnsi="宋体" w:cs="仿宋_GB2312"/>
          <w:b/>
          <w:color w:val="auto"/>
          <w:sz w:val="24"/>
          <w:highlight w:val="none"/>
        </w:rPr>
      </w:pPr>
      <w:r>
        <w:rPr>
          <w:rFonts w:hint="eastAsia" w:ascii="宋体" w:hAnsi="宋体" w:cs="仿宋_GB2312"/>
          <w:color w:val="auto"/>
          <w:sz w:val="24"/>
          <w:highlight w:val="none"/>
        </w:rPr>
        <w:t xml:space="preserve">日期：  </w:t>
      </w:r>
      <w:r>
        <w:rPr>
          <w:rFonts w:hint="eastAsia" w:ascii="宋体" w:hAnsi="宋体" w:cs="仿宋_GB2312"/>
          <w:color w:val="auto"/>
          <w:sz w:val="24"/>
          <w:highlight w:val="none"/>
          <w:lang w:val="en-US" w:eastAsia="zh-CN"/>
        </w:rPr>
        <w:t xml:space="preserve"> </w:t>
      </w:r>
      <w:r>
        <w:rPr>
          <w:rFonts w:hint="eastAsia" w:ascii="宋体" w:hAnsi="宋体" w:cs="仿宋_GB2312"/>
          <w:color w:val="auto"/>
          <w:sz w:val="24"/>
          <w:highlight w:val="none"/>
        </w:rPr>
        <w:t xml:space="preserve"> 年   月   日</w:t>
      </w:r>
    </w:p>
    <w:p w14:paraId="15E27C71">
      <w:pPr>
        <w:spacing w:before="312" w:beforeLines="100" w:after="156" w:afterLines="50" w:line="520" w:lineRule="exact"/>
        <w:ind w:left="540"/>
        <w:jc w:val="center"/>
        <w:rPr>
          <w:rFonts w:ascii="仿宋_GB2312" w:hAnsi="仿宋_GB2312" w:eastAsia="仿宋_GB2312" w:cs="仿宋_GB2312"/>
          <w:color w:val="auto"/>
          <w:sz w:val="32"/>
          <w:szCs w:val="32"/>
          <w:highlight w:val="none"/>
        </w:rPr>
      </w:pPr>
      <w:r>
        <w:rPr>
          <w:rFonts w:hint="eastAsia" w:ascii="宋体" w:hAnsi="Courier New"/>
          <w:b/>
          <w:color w:val="auto"/>
          <w:sz w:val="32"/>
          <w:szCs w:val="32"/>
          <w:highlight w:val="none"/>
        </w:rPr>
        <w:br w:type="page"/>
      </w:r>
      <w:r>
        <w:rPr>
          <w:rFonts w:hint="eastAsia" w:ascii="方正小标宋简体" w:hAnsi="方正小标宋简体" w:eastAsia="方正小标宋简体" w:cs="方正小标宋简体"/>
          <w:bCs/>
          <w:color w:val="auto"/>
          <w:sz w:val="44"/>
          <w:szCs w:val="44"/>
          <w:highlight w:val="none"/>
        </w:rPr>
        <w:t>法定代表人证明书</w:t>
      </w:r>
    </w:p>
    <w:p w14:paraId="740893B9">
      <w:pPr>
        <w:spacing w:line="520" w:lineRule="exact"/>
        <w:ind w:left="540"/>
        <w:rPr>
          <w:rFonts w:ascii="仿宋_GB2312" w:hAnsi="仿宋_GB2312" w:eastAsia="仿宋_GB2312" w:cs="仿宋_GB2312"/>
          <w:color w:val="auto"/>
          <w:sz w:val="32"/>
          <w:szCs w:val="32"/>
          <w:highlight w:val="none"/>
        </w:rPr>
      </w:pPr>
    </w:p>
    <w:p w14:paraId="4B0633A7">
      <w:pPr>
        <w:spacing w:line="360" w:lineRule="auto"/>
        <w:ind w:left="540"/>
        <w:rPr>
          <w:rFonts w:ascii="宋体" w:hAnsi="宋体" w:cs="仿宋_GB2312"/>
          <w:color w:val="auto"/>
          <w:sz w:val="24"/>
          <w:highlight w:val="none"/>
        </w:rPr>
      </w:pPr>
      <w:r>
        <w:rPr>
          <w:rFonts w:hint="eastAsia" w:ascii="宋体" w:hAnsi="宋体" w:cs="仿宋_GB2312"/>
          <w:color w:val="auto"/>
          <w:sz w:val="24"/>
          <w:highlight w:val="none"/>
        </w:rPr>
        <w:t>供应商名称：</w:t>
      </w:r>
      <w:r>
        <w:rPr>
          <w:rFonts w:hint="eastAsia" w:ascii="宋体" w:hAnsi="宋体" w:cs="仿宋_GB2312"/>
          <w:color w:val="auto"/>
          <w:sz w:val="24"/>
          <w:highlight w:val="none"/>
          <w:u w:val="single"/>
        </w:rPr>
        <w:t xml:space="preserve">                                                        </w:t>
      </w:r>
    </w:p>
    <w:p w14:paraId="2C324E97">
      <w:pPr>
        <w:spacing w:line="360" w:lineRule="auto"/>
        <w:ind w:left="540"/>
        <w:rPr>
          <w:rFonts w:ascii="宋体" w:hAnsi="宋体" w:cs="仿宋_GB2312"/>
          <w:color w:val="auto"/>
          <w:sz w:val="24"/>
          <w:highlight w:val="none"/>
        </w:rPr>
      </w:pPr>
      <w:r>
        <w:rPr>
          <w:rFonts w:hint="eastAsia" w:ascii="宋体" w:hAnsi="宋体" w:cs="仿宋_GB2312"/>
          <w:color w:val="auto"/>
          <w:sz w:val="24"/>
          <w:highlight w:val="none"/>
        </w:rPr>
        <w:t>地    址：</w:t>
      </w:r>
      <w:r>
        <w:rPr>
          <w:rFonts w:hint="eastAsia" w:ascii="宋体" w:hAnsi="宋体" w:cs="仿宋_GB2312"/>
          <w:color w:val="auto"/>
          <w:sz w:val="24"/>
          <w:highlight w:val="none"/>
          <w:u w:val="single"/>
        </w:rPr>
        <w:t xml:space="preserve">                                                        </w:t>
      </w:r>
    </w:p>
    <w:p w14:paraId="52E912E8">
      <w:pPr>
        <w:spacing w:line="360" w:lineRule="auto"/>
        <w:ind w:left="540"/>
        <w:rPr>
          <w:rFonts w:ascii="宋体" w:hAnsi="宋体" w:cs="仿宋_GB2312"/>
          <w:color w:val="auto"/>
          <w:sz w:val="24"/>
          <w:highlight w:val="none"/>
        </w:rPr>
      </w:pPr>
      <w:r>
        <w:rPr>
          <w:rFonts w:hint="eastAsia" w:ascii="宋体" w:hAnsi="宋体" w:cs="仿宋_GB2312"/>
          <w:color w:val="auto"/>
          <w:sz w:val="24"/>
          <w:highlight w:val="none"/>
        </w:rPr>
        <w:t>姓    名：</w:t>
      </w:r>
      <w:r>
        <w:rPr>
          <w:rFonts w:hint="eastAsia" w:ascii="宋体" w:hAnsi="宋体" w:cs="仿宋_GB2312"/>
          <w:color w:val="auto"/>
          <w:sz w:val="24"/>
          <w:highlight w:val="none"/>
          <w:u w:val="single"/>
        </w:rPr>
        <w:t xml:space="preserve">                </w:t>
      </w:r>
      <w:r>
        <w:rPr>
          <w:rFonts w:hint="eastAsia" w:ascii="宋体" w:hAnsi="宋体" w:cs="仿宋_GB2312"/>
          <w:color w:val="auto"/>
          <w:sz w:val="24"/>
          <w:highlight w:val="none"/>
        </w:rPr>
        <w:t>性     别：</w:t>
      </w:r>
      <w:r>
        <w:rPr>
          <w:rFonts w:hint="eastAsia" w:ascii="宋体" w:hAnsi="宋体" w:cs="仿宋_GB2312"/>
          <w:color w:val="auto"/>
          <w:sz w:val="24"/>
          <w:highlight w:val="none"/>
          <w:u w:val="single"/>
        </w:rPr>
        <w:t xml:space="preserve">                </w:t>
      </w:r>
    </w:p>
    <w:p w14:paraId="76C509F2">
      <w:pPr>
        <w:spacing w:line="360" w:lineRule="auto"/>
        <w:ind w:left="540"/>
        <w:rPr>
          <w:rFonts w:ascii="宋体" w:hAnsi="宋体" w:cs="仿宋_GB2312"/>
          <w:color w:val="auto"/>
          <w:sz w:val="24"/>
          <w:highlight w:val="none"/>
          <w:u w:val="single"/>
        </w:rPr>
      </w:pPr>
      <w:r>
        <w:rPr>
          <w:rFonts w:hint="eastAsia" w:ascii="宋体" w:hAnsi="宋体" w:cs="仿宋_GB2312"/>
          <w:color w:val="auto"/>
          <w:sz w:val="24"/>
          <w:highlight w:val="none"/>
        </w:rPr>
        <w:t>年    龄：</w:t>
      </w:r>
      <w:r>
        <w:rPr>
          <w:rFonts w:hint="eastAsia" w:ascii="宋体" w:hAnsi="宋体" w:cs="仿宋_GB2312"/>
          <w:color w:val="auto"/>
          <w:sz w:val="24"/>
          <w:highlight w:val="none"/>
          <w:u w:val="single"/>
        </w:rPr>
        <w:t xml:space="preserve">                </w:t>
      </w:r>
      <w:r>
        <w:rPr>
          <w:rFonts w:hint="eastAsia" w:ascii="宋体" w:hAnsi="宋体" w:cs="仿宋_GB2312"/>
          <w:color w:val="auto"/>
          <w:sz w:val="24"/>
          <w:highlight w:val="none"/>
        </w:rPr>
        <w:t>职     务：</w:t>
      </w:r>
      <w:r>
        <w:rPr>
          <w:rFonts w:hint="eastAsia" w:ascii="宋体" w:hAnsi="宋体" w:cs="仿宋_GB2312"/>
          <w:color w:val="auto"/>
          <w:sz w:val="24"/>
          <w:highlight w:val="none"/>
          <w:u w:val="single"/>
        </w:rPr>
        <w:t xml:space="preserve">                </w:t>
      </w:r>
    </w:p>
    <w:p w14:paraId="35EB6675">
      <w:pPr>
        <w:spacing w:line="360" w:lineRule="auto"/>
        <w:ind w:left="540"/>
        <w:rPr>
          <w:rFonts w:ascii="宋体" w:hAnsi="宋体" w:cs="仿宋_GB2312"/>
          <w:color w:val="auto"/>
          <w:sz w:val="24"/>
          <w:highlight w:val="none"/>
        </w:rPr>
      </w:pPr>
      <w:r>
        <w:rPr>
          <w:rFonts w:hint="eastAsia" w:ascii="宋体" w:hAnsi="宋体" w:cs="仿宋_GB2312"/>
          <w:color w:val="auto"/>
          <w:sz w:val="24"/>
          <w:highlight w:val="none"/>
        </w:rPr>
        <w:t>身份证号码：</w:t>
      </w:r>
      <w:r>
        <w:rPr>
          <w:rFonts w:hint="eastAsia" w:ascii="宋体" w:hAnsi="宋体" w:cs="仿宋_GB2312"/>
          <w:color w:val="auto"/>
          <w:sz w:val="24"/>
          <w:highlight w:val="none"/>
          <w:u w:val="single"/>
        </w:rPr>
        <w:t xml:space="preserve">                                        </w:t>
      </w:r>
    </w:p>
    <w:p w14:paraId="21C6DB88">
      <w:pPr>
        <w:pStyle w:val="22"/>
        <w:ind w:firstLine="480" w:firstLineChars="200"/>
        <w:rPr>
          <w:color w:val="auto"/>
          <w:sz w:val="24"/>
          <w:highlight w:val="none"/>
          <w:u w:val="single"/>
        </w:rPr>
      </w:pPr>
    </w:p>
    <w:p w14:paraId="3AD6DFBE">
      <w:pPr>
        <w:pStyle w:val="22"/>
        <w:ind w:firstLine="480" w:firstLineChars="200"/>
        <w:rPr>
          <w:rFonts w:ascii="宋体" w:hAnsi="宋体" w:cs="仿宋_GB2312"/>
          <w:color w:val="auto"/>
          <w:kern w:val="2"/>
          <w:sz w:val="24"/>
          <w:szCs w:val="24"/>
          <w:highlight w:val="none"/>
        </w:rPr>
      </w:pPr>
      <w:r>
        <w:rPr>
          <w:rFonts w:hint="eastAsia" w:ascii="宋体" w:hAnsi="宋体" w:cs="仿宋_GB2312"/>
          <w:color w:val="auto"/>
          <w:kern w:val="2"/>
          <w:sz w:val="24"/>
          <w:szCs w:val="24"/>
          <w:highlight w:val="none"/>
        </w:rPr>
        <w:t xml:space="preserve">手机号码：                                   </w:t>
      </w:r>
    </w:p>
    <w:p w14:paraId="3BBF0F82">
      <w:pPr>
        <w:spacing w:line="360" w:lineRule="auto"/>
        <w:ind w:firstLine="480" w:firstLineChars="200"/>
        <w:rPr>
          <w:rFonts w:ascii="宋体" w:hAnsi="宋体" w:cs="仿宋_GB2312"/>
          <w:color w:val="auto"/>
          <w:sz w:val="24"/>
          <w:highlight w:val="none"/>
        </w:rPr>
      </w:pPr>
    </w:p>
    <w:p w14:paraId="46504699">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系</w:t>
      </w:r>
      <w:r>
        <w:rPr>
          <w:rFonts w:hint="eastAsia" w:ascii="宋体" w:hAnsi="宋体" w:cs="仿宋_GB2312"/>
          <w:color w:val="auto"/>
          <w:sz w:val="24"/>
          <w:highlight w:val="none"/>
          <w:u w:val="single"/>
        </w:rPr>
        <w:t>（供应商名称）</w:t>
      </w:r>
      <w:r>
        <w:rPr>
          <w:rFonts w:hint="eastAsia" w:ascii="宋体" w:hAnsi="宋体" w:cs="仿宋_GB2312"/>
          <w:color w:val="auto"/>
          <w:sz w:val="24"/>
          <w:highlight w:val="none"/>
        </w:rPr>
        <w:t>的法定代表人。</w:t>
      </w:r>
    </w:p>
    <w:p w14:paraId="5BB2556B">
      <w:pPr>
        <w:spacing w:line="360" w:lineRule="auto"/>
        <w:ind w:left="540"/>
        <w:rPr>
          <w:rFonts w:ascii="宋体" w:hAnsi="宋体" w:cs="仿宋_GB2312"/>
          <w:color w:val="auto"/>
          <w:sz w:val="24"/>
          <w:highlight w:val="none"/>
        </w:rPr>
      </w:pPr>
      <w:r>
        <w:rPr>
          <w:rFonts w:hint="eastAsia" w:ascii="宋体" w:hAnsi="宋体" w:cs="仿宋_GB2312"/>
          <w:color w:val="auto"/>
          <w:sz w:val="24"/>
          <w:highlight w:val="none"/>
        </w:rPr>
        <w:t>特此证明。</w:t>
      </w:r>
    </w:p>
    <w:p w14:paraId="6BD50558">
      <w:pPr>
        <w:spacing w:line="360" w:lineRule="auto"/>
        <w:ind w:left="540"/>
        <w:rPr>
          <w:rFonts w:ascii="宋体" w:hAnsi="宋体" w:cs="仿宋_GB2312"/>
          <w:color w:val="auto"/>
          <w:sz w:val="24"/>
          <w:highlight w:val="none"/>
        </w:rPr>
      </w:pPr>
    </w:p>
    <w:p w14:paraId="2909FC9E">
      <w:pPr>
        <w:spacing w:line="360" w:lineRule="auto"/>
        <w:ind w:left="540"/>
        <w:rPr>
          <w:rFonts w:ascii="宋体" w:hAnsi="宋体" w:cs="仿宋_GB2312"/>
          <w:color w:val="auto"/>
          <w:sz w:val="24"/>
          <w:highlight w:val="none"/>
        </w:rPr>
      </w:pPr>
    </w:p>
    <w:p w14:paraId="5C0D22A0">
      <w:pPr>
        <w:spacing w:line="360" w:lineRule="auto"/>
        <w:ind w:left="540"/>
        <w:rPr>
          <w:rFonts w:ascii="宋体" w:hAnsi="宋体" w:cs="仿宋_GB2312"/>
          <w:color w:val="auto"/>
          <w:sz w:val="24"/>
          <w:highlight w:val="none"/>
        </w:rPr>
      </w:pPr>
    </w:p>
    <w:p w14:paraId="1A49A502">
      <w:pPr>
        <w:spacing w:line="360" w:lineRule="auto"/>
        <w:ind w:left="540"/>
        <w:rPr>
          <w:rFonts w:ascii="宋体" w:hAnsi="宋体" w:cs="仿宋_GB2312"/>
          <w:color w:val="auto"/>
          <w:sz w:val="24"/>
          <w:highlight w:val="none"/>
        </w:rPr>
      </w:pPr>
      <w:r>
        <w:rPr>
          <w:rFonts w:hint="eastAsia" w:ascii="宋体" w:hAnsi="宋体" w:cs="仿宋_GB2312"/>
          <w:color w:val="auto"/>
          <w:sz w:val="24"/>
          <w:highlight w:val="none"/>
        </w:rPr>
        <w:t>附件：法定代表人有效身份证正反面复印件</w:t>
      </w:r>
    </w:p>
    <w:p w14:paraId="4BD7C460">
      <w:pPr>
        <w:spacing w:line="360" w:lineRule="auto"/>
        <w:ind w:left="540"/>
        <w:rPr>
          <w:rFonts w:ascii="宋体" w:hAnsi="宋体" w:cs="仿宋_GB2312"/>
          <w:color w:val="auto"/>
          <w:sz w:val="24"/>
          <w:highlight w:val="none"/>
        </w:rPr>
      </w:pPr>
    </w:p>
    <w:p w14:paraId="69E0360C">
      <w:pPr>
        <w:spacing w:line="360" w:lineRule="auto"/>
        <w:ind w:left="540"/>
        <w:jc w:val="right"/>
        <w:rPr>
          <w:rFonts w:ascii="宋体" w:hAnsi="宋体" w:cs="仿宋_GB2312"/>
          <w:color w:val="auto"/>
          <w:sz w:val="24"/>
          <w:highlight w:val="none"/>
        </w:rPr>
      </w:pPr>
      <w:r>
        <w:rPr>
          <w:rFonts w:hint="eastAsia" w:ascii="宋体" w:hAnsi="宋体" w:cs="仿宋_GB2312"/>
          <w:color w:val="auto"/>
          <w:sz w:val="24"/>
          <w:highlight w:val="none"/>
        </w:rPr>
        <w:t>供应商（盖公章）：</w:t>
      </w:r>
      <w:r>
        <w:rPr>
          <w:rFonts w:hint="eastAsia" w:ascii="宋体" w:hAnsi="宋体" w:cs="仿宋_GB2312"/>
          <w:color w:val="auto"/>
          <w:sz w:val="24"/>
          <w:highlight w:val="none"/>
          <w:u w:val="single"/>
        </w:rPr>
        <w:t xml:space="preserve">               </w:t>
      </w:r>
    </w:p>
    <w:p w14:paraId="0B94C610">
      <w:pPr>
        <w:snapToGrid w:val="0"/>
        <w:spacing w:before="156" w:beforeLines="50" w:after="50" w:line="360" w:lineRule="auto"/>
        <w:ind w:firstLine="4080" w:firstLineChars="1700"/>
        <w:rPr>
          <w:rFonts w:ascii="宋体" w:hAnsi="宋体" w:cs="仿宋_GB2312"/>
          <w:color w:val="auto"/>
          <w:sz w:val="24"/>
          <w:highlight w:val="none"/>
        </w:rPr>
      </w:pPr>
      <w:r>
        <w:rPr>
          <w:rFonts w:hint="eastAsia" w:ascii="宋体" w:hAnsi="宋体" w:cs="仿宋_GB2312"/>
          <w:color w:val="auto"/>
          <w:sz w:val="24"/>
          <w:highlight w:val="none"/>
          <w:u w:val="single"/>
        </w:rPr>
        <w:t xml:space="preserve">     </w:t>
      </w:r>
      <w:r>
        <w:rPr>
          <w:rFonts w:hint="eastAsia" w:ascii="宋体" w:hAnsi="宋体" w:cs="仿宋_GB2312"/>
          <w:color w:val="auto"/>
          <w:sz w:val="24"/>
          <w:highlight w:val="none"/>
        </w:rPr>
        <w:t>年</w:t>
      </w:r>
      <w:r>
        <w:rPr>
          <w:rFonts w:hint="eastAsia" w:ascii="宋体" w:hAnsi="宋体" w:cs="仿宋_GB2312"/>
          <w:color w:val="auto"/>
          <w:sz w:val="24"/>
          <w:highlight w:val="none"/>
          <w:u w:val="single"/>
        </w:rPr>
        <w:t xml:space="preserve">     </w:t>
      </w:r>
      <w:r>
        <w:rPr>
          <w:rFonts w:hint="eastAsia" w:ascii="宋体" w:hAnsi="宋体" w:cs="仿宋_GB2312"/>
          <w:color w:val="auto"/>
          <w:sz w:val="24"/>
          <w:highlight w:val="none"/>
        </w:rPr>
        <w:t>月</w:t>
      </w:r>
      <w:r>
        <w:rPr>
          <w:rFonts w:hint="eastAsia" w:ascii="宋体" w:hAnsi="宋体" w:cs="仿宋_GB2312"/>
          <w:color w:val="auto"/>
          <w:sz w:val="24"/>
          <w:highlight w:val="none"/>
          <w:u w:val="single"/>
        </w:rPr>
        <w:t xml:space="preserve">     </w:t>
      </w:r>
      <w:r>
        <w:rPr>
          <w:rFonts w:hint="eastAsia" w:ascii="宋体" w:hAnsi="宋体" w:cs="仿宋_GB2312"/>
          <w:color w:val="auto"/>
          <w:sz w:val="24"/>
          <w:highlight w:val="none"/>
        </w:rPr>
        <w:t>日</w:t>
      </w:r>
    </w:p>
    <w:p w14:paraId="2F4B8753">
      <w:pPr>
        <w:snapToGrid w:val="0"/>
        <w:spacing w:before="156" w:beforeLines="50" w:after="50" w:line="360" w:lineRule="auto"/>
        <w:jc w:val="center"/>
        <w:rPr>
          <w:rFonts w:ascii="宋体" w:hAnsi="宋体" w:cs="仿宋_GB2312"/>
          <w:b/>
          <w:color w:val="auto"/>
          <w:sz w:val="24"/>
          <w:highlight w:val="none"/>
        </w:rPr>
      </w:pPr>
    </w:p>
    <w:p w14:paraId="290EFED7">
      <w:pPr>
        <w:snapToGrid w:val="0"/>
        <w:spacing w:before="156" w:beforeLines="50" w:after="50" w:line="360" w:lineRule="auto"/>
        <w:jc w:val="left"/>
        <w:rPr>
          <w:rFonts w:ascii="宋体" w:hAnsi="宋体" w:cs="仿宋_GB2312"/>
          <w:color w:val="auto"/>
          <w:sz w:val="24"/>
          <w:highlight w:val="none"/>
        </w:rPr>
      </w:pPr>
    </w:p>
    <w:p w14:paraId="41BAADC3">
      <w:pPr>
        <w:snapToGrid w:val="0"/>
        <w:spacing w:before="156" w:beforeLines="50" w:after="50" w:line="360" w:lineRule="auto"/>
        <w:jc w:val="left"/>
        <w:rPr>
          <w:rFonts w:ascii="宋体" w:hAnsi="宋体" w:cs="仿宋_GB2312"/>
          <w:color w:val="auto"/>
          <w:sz w:val="24"/>
          <w:highlight w:val="none"/>
        </w:rPr>
      </w:pPr>
      <w:r>
        <w:rPr>
          <w:rFonts w:hint="eastAsia" w:ascii="宋体" w:hAnsi="宋体" w:cs="仿宋_GB2312"/>
          <w:color w:val="auto"/>
          <w:sz w:val="24"/>
          <w:highlight w:val="none"/>
        </w:rPr>
        <w:t>注：1</w:t>
      </w:r>
      <w:r>
        <w:rPr>
          <w:rFonts w:ascii="宋体" w:hAnsi="宋体" w:cs="仿宋_GB2312"/>
          <w:color w:val="auto"/>
          <w:sz w:val="24"/>
          <w:highlight w:val="none"/>
        </w:rPr>
        <w:t>.</w:t>
      </w:r>
      <w:r>
        <w:rPr>
          <w:rFonts w:hint="eastAsia" w:ascii="宋体" w:hAnsi="宋体" w:cs="仿宋_GB2312"/>
          <w:color w:val="auto"/>
          <w:sz w:val="24"/>
          <w:highlight w:val="none"/>
        </w:rPr>
        <w:t>自然人竞标的无需提供。</w:t>
      </w:r>
    </w:p>
    <w:p w14:paraId="5F4801F3">
      <w:pPr>
        <w:snapToGrid w:val="0"/>
        <w:spacing w:before="156" w:beforeLines="50" w:after="50" w:line="360" w:lineRule="auto"/>
        <w:ind w:firstLine="480" w:firstLineChars="200"/>
        <w:jc w:val="left"/>
        <w:rPr>
          <w:rFonts w:ascii="仿宋_GB2312" w:hAnsi="仿宋_GB2312" w:eastAsia="仿宋_GB2312" w:cs="仿宋_GB2312"/>
          <w:b/>
          <w:color w:val="auto"/>
          <w:sz w:val="32"/>
          <w:szCs w:val="32"/>
          <w:highlight w:val="none"/>
        </w:rPr>
      </w:pPr>
      <w:r>
        <w:rPr>
          <w:rFonts w:hint="eastAsia" w:ascii="宋体" w:hAnsi="宋体" w:cs="仿宋_GB2312"/>
          <w:color w:val="auto"/>
          <w:sz w:val="24"/>
          <w:highlight w:val="none"/>
        </w:rPr>
        <w:t>2</w:t>
      </w:r>
      <w:r>
        <w:rPr>
          <w:rFonts w:ascii="宋体" w:hAnsi="宋体" w:cs="仿宋_GB2312"/>
          <w:color w:val="auto"/>
          <w:sz w:val="24"/>
          <w:highlight w:val="none"/>
        </w:rPr>
        <w:t>.</w:t>
      </w:r>
      <w:r>
        <w:rPr>
          <w:rFonts w:hint="eastAsia" w:ascii="宋体" w:hAnsi="宋体" w:cs="仿宋_GB2312"/>
          <w:color w:val="auto"/>
          <w:sz w:val="24"/>
          <w:highlight w:val="none"/>
        </w:rPr>
        <w:t>供应商为其他组织或者自然人时，本磋商文件规定的法定代表人指负责人或者自然人。本磋商文件所称负责人是指参加竞标的其他组织营业执照上的负责人，本磋商文件所称自然人指参与竞标的自然人本人。</w:t>
      </w:r>
    </w:p>
    <w:p w14:paraId="0720CE36">
      <w:pPr>
        <w:adjustRightInd w:val="0"/>
        <w:snapToGrid w:val="0"/>
        <w:spacing w:line="300" w:lineRule="auto"/>
        <w:jc w:val="left"/>
        <w:rPr>
          <w:rFonts w:ascii="宋体" w:hAnsi="宋体"/>
          <w:b/>
          <w:color w:val="auto"/>
          <w:szCs w:val="21"/>
          <w:highlight w:val="none"/>
        </w:rPr>
      </w:pPr>
    </w:p>
    <w:p w14:paraId="4C517BD6">
      <w:pPr>
        <w:spacing w:line="500" w:lineRule="exact"/>
        <w:jc w:val="center"/>
        <w:rPr>
          <w:rFonts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color w:val="auto"/>
          <w:sz w:val="44"/>
          <w:szCs w:val="44"/>
          <w:highlight w:val="none"/>
        </w:rPr>
        <w:br w:type="page"/>
      </w:r>
      <w:r>
        <w:rPr>
          <w:rFonts w:ascii="方正小标宋简体" w:hAnsi="方正小标宋简体" w:eastAsia="方正小标宋简体" w:cs="方正小标宋简体"/>
          <w:color w:val="auto"/>
          <w:sz w:val="44"/>
          <w:szCs w:val="44"/>
          <w:highlight w:val="none"/>
        </w:rPr>
        <w:t xml:space="preserve"> </w:t>
      </w:r>
      <w:r>
        <w:rPr>
          <w:rFonts w:hint="eastAsia" w:ascii="方正小标宋简体" w:hAnsi="方正小标宋简体" w:eastAsia="方正小标宋简体" w:cs="方正小标宋简体"/>
          <w:color w:val="auto"/>
          <w:sz w:val="44"/>
          <w:szCs w:val="44"/>
          <w:highlight w:val="none"/>
        </w:rPr>
        <w:t>法定代表人授权委托书</w:t>
      </w:r>
    </w:p>
    <w:p w14:paraId="31215A40">
      <w:pPr>
        <w:spacing w:line="520" w:lineRule="exact"/>
        <w:jc w:val="center"/>
        <w:rPr>
          <w:rFonts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color w:val="auto"/>
          <w:sz w:val="44"/>
          <w:szCs w:val="44"/>
          <w:highlight w:val="none"/>
        </w:rPr>
        <w:t>（如有委托时）</w:t>
      </w:r>
    </w:p>
    <w:p w14:paraId="5D9ADCDD">
      <w:pPr>
        <w:spacing w:line="520" w:lineRule="exact"/>
        <w:rPr>
          <w:rFonts w:ascii="仿宋_GB2312" w:hAnsi="仿宋_GB2312" w:eastAsia="仿宋_GB2312" w:cs="仿宋_GB2312"/>
          <w:color w:val="auto"/>
          <w:sz w:val="32"/>
          <w:szCs w:val="32"/>
          <w:highlight w:val="none"/>
        </w:rPr>
      </w:pPr>
    </w:p>
    <w:p w14:paraId="2ECEA7F8">
      <w:pPr>
        <w:spacing w:line="360" w:lineRule="auto"/>
        <w:rPr>
          <w:rFonts w:ascii="宋体" w:hAnsi="宋体" w:cs="仿宋_GB2312"/>
          <w:color w:val="auto"/>
          <w:sz w:val="24"/>
          <w:highlight w:val="none"/>
        </w:rPr>
      </w:pPr>
      <w:r>
        <w:rPr>
          <w:rFonts w:hint="eastAsia" w:ascii="宋体" w:hAnsi="宋体" w:cs="仿宋_GB2312"/>
          <w:color w:val="auto"/>
          <w:sz w:val="24"/>
          <w:highlight w:val="none"/>
        </w:rPr>
        <w:t>致：</w:t>
      </w:r>
      <w:r>
        <w:rPr>
          <w:rFonts w:hint="eastAsia" w:ascii="宋体" w:hAnsi="宋体" w:cs="仿宋_GB2312"/>
          <w:color w:val="auto"/>
          <w:sz w:val="24"/>
          <w:highlight w:val="none"/>
          <w:u w:val="single"/>
        </w:rPr>
        <w:t>（采购人名称）</w:t>
      </w:r>
      <w:r>
        <w:rPr>
          <w:rFonts w:hint="eastAsia" w:ascii="宋体" w:hAnsi="宋体" w:cs="仿宋_GB2312"/>
          <w:color w:val="auto"/>
          <w:sz w:val="24"/>
          <w:highlight w:val="none"/>
        </w:rPr>
        <w:t>：</w:t>
      </w:r>
    </w:p>
    <w:p w14:paraId="79FC16CF">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我</w:t>
      </w:r>
      <w:r>
        <w:rPr>
          <w:rFonts w:hint="eastAsia" w:ascii="宋体" w:hAnsi="宋体" w:cs="仿宋_GB2312"/>
          <w:color w:val="auto"/>
          <w:sz w:val="24"/>
          <w:highlight w:val="none"/>
          <w:u w:val="single"/>
        </w:rPr>
        <w:t xml:space="preserve">  （姓名）  </w:t>
      </w:r>
      <w:r>
        <w:rPr>
          <w:rFonts w:hint="eastAsia" w:ascii="宋体" w:hAnsi="宋体" w:cs="仿宋_GB2312"/>
          <w:color w:val="auto"/>
          <w:sz w:val="24"/>
          <w:highlight w:val="none"/>
        </w:rPr>
        <w:t>系</w:t>
      </w:r>
      <w:r>
        <w:rPr>
          <w:rFonts w:hint="eastAsia" w:ascii="宋体" w:hAnsi="宋体" w:cs="仿宋_GB2312"/>
          <w:color w:val="auto"/>
          <w:sz w:val="24"/>
          <w:highlight w:val="none"/>
          <w:u w:val="single"/>
        </w:rPr>
        <w:t xml:space="preserve">  （供应商名称）  </w:t>
      </w:r>
      <w:r>
        <w:rPr>
          <w:rFonts w:hint="eastAsia" w:ascii="宋体" w:hAnsi="宋体" w:cs="仿宋_GB2312"/>
          <w:color w:val="auto"/>
          <w:sz w:val="24"/>
          <w:highlight w:val="none"/>
        </w:rPr>
        <w:t>的（</w:t>
      </w:r>
      <w:r>
        <w:rPr>
          <w:rFonts w:hint="eastAsia" w:ascii="宋体" w:hAnsi="宋体" w:cs="仿宋_GB2312"/>
          <w:color w:val="auto"/>
          <w:sz w:val="24"/>
          <w:highlight w:val="none"/>
          <w:u w:val="single"/>
        </w:rPr>
        <w:sym w:font="Wingdings 2" w:char="00A3"/>
      </w:r>
      <w:r>
        <w:rPr>
          <w:rFonts w:hint="eastAsia" w:ascii="宋体" w:hAnsi="宋体" w:cs="仿宋_GB2312"/>
          <w:color w:val="auto"/>
          <w:sz w:val="24"/>
          <w:highlight w:val="none"/>
          <w:u w:val="single"/>
        </w:rPr>
        <w:t>法定代表人/□负责人/□自然人本人</w:t>
      </w:r>
      <w:r>
        <w:rPr>
          <w:rFonts w:hint="eastAsia" w:ascii="宋体" w:hAnsi="宋体" w:cs="仿宋_GB2312"/>
          <w:color w:val="auto"/>
          <w:sz w:val="24"/>
          <w:highlight w:val="none"/>
        </w:rPr>
        <w:t>），现授权</w:t>
      </w:r>
      <w:r>
        <w:rPr>
          <w:rFonts w:hint="eastAsia" w:ascii="宋体" w:hAnsi="宋体" w:cs="仿宋_GB2312"/>
          <w:color w:val="auto"/>
          <w:sz w:val="24"/>
          <w:highlight w:val="none"/>
          <w:u w:val="single"/>
        </w:rPr>
        <w:t xml:space="preserve"> （姓名） </w:t>
      </w:r>
      <w:r>
        <w:rPr>
          <w:rFonts w:hint="eastAsia" w:ascii="宋体" w:hAnsi="宋体" w:cs="仿宋_GB2312"/>
          <w:color w:val="auto"/>
          <w:sz w:val="24"/>
          <w:highlight w:val="none"/>
        </w:rPr>
        <w:t>以我方的名义参加</w:t>
      </w:r>
      <w:r>
        <w:rPr>
          <w:rFonts w:hint="eastAsia" w:ascii="宋体" w:hAnsi="宋体" w:cs="仿宋_GB2312"/>
          <w:color w:val="auto"/>
          <w:sz w:val="24"/>
          <w:highlight w:val="none"/>
          <w:u w:val="single"/>
        </w:rPr>
        <w:t xml:space="preserve">              </w:t>
      </w:r>
      <w:r>
        <w:rPr>
          <w:rFonts w:hint="eastAsia" w:ascii="宋体" w:hAnsi="宋体" w:cs="仿宋_GB2312"/>
          <w:color w:val="auto"/>
          <w:sz w:val="24"/>
          <w:highlight w:val="none"/>
        </w:rPr>
        <w:t>项目的竞标活动，并代表我方全权办理针对上述项目的所有采购程序和环节的具体事务和签署相关文件。</w:t>
      </w:r>
    </w:p>
    <w:p w14:paraId="0682A92B">
      <w:pPr>
        <w:spacing w:line="360" w:lineRule="auto"/>
        <w:rPr>
          <w:rFonts w:ascii="宋体" w:hAnsi="宋体" w:cs="仿宋_GB2312"/>
          <w:color w:val="auto"/>
          <w:sz w:val="24"/>
          <w:highlight w:val="none"/>
        </w:rPr>
      </w:pPr>
      <w:r>
        <w:rPr>
          <w:rFonts w:hint="eastAsia" w:ascii="宋体" w:hAnsi="宋体" w:cs="仿宋_GB2312"/>
          <w:color w:val="auto"/>
          <w:sz w:val="24"/>
          <w:highlight w:val="none"/>
        </w:rPr>
        <w:t xml:space="preserve">    我方对委托代理人的签字事项负全部责任。</w:t>
      </w:r>
    </w:p>
    <w:p w14:paraId="3BC13184">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本授权书自签署之日起生效，在撤销授权的书面通知以前，本授权书一直有效。委托代理人在授权书有效期内签署的所有文件不因授权的撤销而失效。</w:t>
      </w:r>
    </w:p>
    <w:p w14:paraId="78B08E1D">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委托代理人无转委托权，特此委托。</w:t>
      </w:r>
    </w:p>
    <w:p w14:paraId="17D1A6A0">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附：法定代表人身份证明书及委托代理人有效身份证正反面复印件</w:t>
      </w:r>
    </w:p>
    <w:p w14:paraId="49F71E25">
      <w:pPr>
        <w:spacing w:line="360" w:lineRule="auto"/>
        <w:rPr>
          <w:rFonts w:ascii="宋体" w:hAnsi="宋体" w:cs="仿宋_GB2312"/>
          <w:color w:val="auto"/>
          <w:sz w:val="24"/>
          <w:highlight w:val="none"/>
        </w:rPr>
      </w:pPr>
    </w:p>
    <w:p w14:paraId="6B0B2F48">
      <w:pPr>
        <w:spacing w:line="360" w:lineRule="auto"/>
        <w:rPr>
          <w:rFonts w:ascii="宋体" w:hAnsi="宋体" w:cs="仿宋_GB2312"/>
          <w:color w:val="auto"/>
          <w:sz w:val="24"/>
          <w:highlight w:val="none"/>
        </w:rPr>
      </w:pPr>
      <w:r>
        <w:rPr>
          <w:rFonts w:hint="eastAsia" w:ascii="宋体" w:hAnsi="宋体" w:cs="仿宋_GB2312"/>
          <w:color w:val="auto"/>
          <w:sz w:val="24"/>
          <w:highlight w:val="none"/>
        </w:rPr>
        <w:t xml:space="preserve">委托代理人（签字）：         法定代表人（签字）：                    </w:t>
      </w:r>
    </w:p>
    <w:p w14:paraId="5720AA63">
      <w:pPr>
        <w:spacing w:line="360" w:lineRule="auto"/>
        <w:rPr>
          <w:rFonts w:ascii="宋体" w:hAnsi="宋体" w:cs="仿宋_GB2312"/>
          <w:color w:val="auto"/>
          <w:sz w:val="24"/>
          <w:highlight w:val="none"/>
        </w:rPr>
      </w:pPr>
      <w:r>
        <w:rPr>
          <w:rFonts w:hint="eastAsia" w:ascii="宋体" w:hAnsi="宋体" w:cs="仿宋_GB2312"/>
          <w:color w:val="auto"/>
          <w:sz w:val="24"/>
          <w:highlight w:val="none"/>
        </w:rPr>
        <w:t xml:space="preserve">委托代理人身份证号码：                              </w:t>
      </w:r>
    </w:p>
    <w:p w14:paraId="7F7C445D">
      <w:pPr>
        <w:spacing w:line="360" w:lineRule="auto"/>
        <w:rPr>
          <w:rFonts w:ascii="宋体" w:hAnsi="宋体" w:cs="仿宋_GB2312"/>
          <w:color w:val="auto"/>
          <w:sz w:val="24"/>
          <w:highlight w:val="none"/>
        </w:rPr>
      </w:pPr>
      <w:r>
        <w:rPr>
          <w:rFonts w:hint="eastAsia"/>
          <w:color w:val="auto"/>
          <w:sz w:val="24"/>
          <w:highlight w:val="none"/>
        </w:rPr>
        <w:t>委托代理人手机号码：</w:t>
      </w:r>
      <w:r>
        <w:rPr>
          <w:color w:val="auto"/>
          <w:sz w:val="24"/>
          <w:highlight w:val="none"/>
        </w:rPr>
        <w:t xml:space="preserve"> </w:t>
      </w:r>
      <w:r>
        <w:rPr>
          <w:rFonts w:hint="eastAsia" w:ascii="宋体" w:hAnsi="宋体" w:cs="仿宋_GB2312"/>
          <w:color w:val="auto"/>
          <w:sz w:val="24"/>
          <w:highlight w:val="none"/>
        </w:rPr>
        <w:t xml:space="preserve">                                </w:t>
      </w:r>
    </w:p>
    <w:p w14:paraId="7DF4F417">
      <w:pPr>
        <w:spacing w:line="360" w:lineRule="auto"/>
        <w:rPr>
          <w:rFonts w:ascii="宋体" w:hAnsi="宋体" w:cs="仿宋_GB2312"/>
          <w:color w:val="auto"/>
          <w:sz w:val="24"/>
          <w:highlight w:val="none"/>
        </w:rPr>
      </w:pPr>
      <w:r>
        <w:rPr>
          <w:rFonts w:hint="eastAsia" w:ascii="宋体" w:hAnsi="宋体" w:cs="仿宋_GB2312"/>
          <w:color w:val="auto"/>
          <w:sz w:val="24"/>
          <w:highlight w:val="none"/>
        </w:rPr>
        <w:t xml:space="preserve">                         供应商（盖公章）：                      </w:t>
      </w:r>
    </w:p>
    <w:p w14:paraId="4F4E36E3">
      <w:pPr>
        <w:spacing w:line="360" w:lineRule="auto"/>
        <w:rPr>
          <w:rFonts w:ascii="宋体" w:hAnsi="宋体" w:cs="仿宋_GB2312"/>
          <w:color w:val="auto"/>
          <w:sz w:val="24"/>
          <w:highlight w:val="none"/>
        </w:rPr>
      </w:pPr>
      <w:r>
        <w:rPr>
          <w:rFonts w:hint="eastAsia" w:ascii="宋体" w:hAnsi="宋体" w:cs="仿宋_GB2312"/>
          <w:color w:val="auto"/>
          <w:sz w:val="24"/>
          <w:highlight w:val="none"/>
        </w:rPr>
        <w:t xml:space="preserve">                                         年    月    日</w:t>
      </w:r>
    </w:p>
    <w:p w14:paraId="22A4DC54">
      <w:pPr>
        <w:spacing w:line="360" w:lineRule="auto"/>
        <w:rPr>
          <w:rFonts w:ascii="宋体" w:hAnsi="宋体" w:cs="仿宋_GB2312"/>
          <w:color w:val="auto"/>
          <w:sz w:val="24"/>
          <w:highlight w:val="none"/>
        </w:rPr>
      </w:pPr>
    </w:p>
    <w:p w14:paraId="06D3A198">
      <w:pPr>
        <w:spacing w:line="360" w:lineRule="auto"/>
        <w:rPr>
          <w:rFonts w:ascii="宋体" w:hAnsi="宋体" w:cs="仿宋_GB2312"/>
          <w:color w:val="auto"/>
          <w:sz w:val="24"/>
          <w:highlight w:val="none"/>
        </w:rPr>
      </w:pPr>
      <w:r>
        <w:rPr>
          <w:rFonts w:hint="eastAsia" w:ascii="宋体" w:hAnsi="宋体" w:cs="仿宋_GB2312"/>
          <w:color w:val="auto"/>
          <w:sz w:val="24"/>
          <w:highlight w:val="none"/>
        </w:rPr>
        <w:t>注：1.法定代表人和委托代理人</w:t>
      </w:r>
      <w:r>
        <w:rPr>
          <w:rFonts w:hint="eastAsia" w:ascii="宋体" w:hAnsi="宋体" w:cs="仿宋_GB2312"/>
          <w:b/>
          <w:bCs/>
          <w:color w:val="auto"/>
          <w:sz w:val="24"/>
          <w:highlight w:val="none"/>
        </w:rPr>
        <w:t>必须在授权委托书上亲笔签名，</w:t>
      </w:r>
      <w:r>
        <w:rPr>
          <w:rFonts w:hint="eastAsia" w:ascii="宋体" w:hAnsi="宋体" w:cs="仿宋_GB2312"/>
          <w:color w:val="auto"/>
          <w:sz w:val="24"/>
          <w:highlight w:val="none"/>
        </w:rPr>
        <w:t>不得使用印章、签名章或者其他电子制版签名代替；</w:t>
      </w:r>
    </w:p>
    <w:p w14:paraId="11740855">
      <w:pPr>
        <w:spacing w:line="360" w:lineRule="auto"/>
        <w:ind w:firstLine="480" w:firstLineChars="200"/>
        <w:jc w:val="left"/>
        <w:rPr>
          <w:rFonts w:ascii="仿宋_GB2312" w:hAnsi="仿宋_GB2312" w:eastAsia="仿宋_GB2312" w:cs="仿宋_GB2312"/>
          <w:color w:val="auto"/>
          <w:szCs w:val="21"/>
          <w:highlight w:val="none"/>
        </w:rPr>
      </w:pPr>
      <w:r>
        <w:rPr>
          <w:rFonts w:ascii="宋体" w:hAnsi="宋体" w:cs="仿宋_GB2312"/>
          <w:color w:val="auto"/>
          <w:sz w:val="24"/>
          <w:highlight w:val="none"/>
        </w:rPr>
        <w:t>2.</w:t>
      </w:r>
      <w:r>
        <w:rPr>
          <w:rFonts w:hint="eastAsia" w:ascii="宋体" w:hAnsi="宋体" w:cs="仿宋_GB2312"/>
          <w:color w:val="auto"/>
          <w:sz w:val="24"/>
          <w:highlight w:val="none"/>
        </w:rPr>
        <w:t>供应商为其他组织或者自然人时，本磋商文件规定的法定代表人指负责人或者自然人。本磋商文件所称负责人是指参加竞标的其他组织营业执照上的负责人，本磋商文件所称自然人指参与竞标的自然人本人。</w:t>
      </w:r>
    </w:p>
    <w:p w14:paraId="5F2BF5B2">
      <w:pPr>
        <w:spacing w:line="360" w:lineRule="auto"/>
        <w:jc w:val="center"/>
        <w:rPr>
          <w:rFonts w:ascii="方正小标宋简体" w:hAnsi="方正小标宋简体" w:eastAsia="方正小标宋简体" w:cs="方正小标宋简体"/>
          <w:bCs/>
          <w:color w:val="auto"/>
          <w:sz w:val="44"/>
          <w:szCs w:val="44"/>
          <w:highlight w:val="none"/>
        </w:rPr>
      </w:pPr>
      <w:r>
        <w:rPr>
          <w:rFonts w:ascii="仿宋_GB2312" w:hAnsi="仿宋_GB2312" w:eastAsia="仿宋_GB2312" w:cs="仿宋_GB2312"/>
          <w:color w:val="auto"/>
          <w:szCs w:val="21"/>
          <w:highlight w:val="none"/>
        </w:rPr>
        <w:br w:type="page"/>
      </w:r>
      <w:r>
        <w:rPr>
          <w:rFonts w:hint="eastAsia" w:ascii="方正小标宋简体" w:hAnsi="方正小标宋简体" w:eastAsia="方正小标宋简体" w:cs="方正小标宋简体"/>
          <w:bCs/>
          <w:color w:val="auto"/>
          <w:sz w:val="44"/>
          <w:szCs w:val="44"/>
          <w:highlight w:val="none"/>
        </w:rPr>
        <w:t>商务条款偏离表格式</w:t>
      </w:r>
    </w:p>
    <w:p w14:paraId="642D8DD3">
      <w:pPr>
        <w:spacing w:line="500" w:lineRule="exact"/>
        <w:jc w:val="center"/>
        <w:rPr>
          <w:rFonts w:ascii="宋体" w:hAnsi="宋体"/>
          <w:b/>
          <w:color w:val="auto"/>
          <w:sz w:val="32"/>
          <w:szCs w:val="32"/>
          <w:highlight w:val="none"/>
        </w:rPr>
      </w:pPr>
      <w:r>
        <w:rPr>
          <w:rFonts w:hint="eastAsia" w:ascii="方正小标宋简体" w:hAnsi="方正小标宋简体" w:eastAsia="方正小标宋简体" w:cs="方正小标宋简体"/>
          <w:bCs/>
          <w:color w:val="auto"/>
          <w:sz w:val="44"/>
          <w:szCs w:val="44"/>
          <w:highlight w:val="none"/>
        </w:rPr>
        <w:t>（注：按采购需求具体条款修改）</w:t>
      </w:r>
    </w:p>
    <w:p w14:paraId="50D54B76">
      <w:pPr>
        <w:snapToGrid w:val="0"/>
        <w:spacing w:before="50" w:line="360" w:lineRule="auto"/>
        <w:jc w:val="left"/>
        <w:rPr>
          <w:rFonts w:ascii="宋体" w:hAnsi="宋体" w:cs="仿宋_GB2312"/>
          <w:color w:val="auto"/>
          <w:sz w:val="24"/>
          <w:highlight w:val="none"/>
          <w:u w:val="single"/>
        </w:rPr>
      </w:pPr>
    </w:p>
    <w:tbl>
      <w:tblPr>
        <w:tblStyle w:val="31"/>
        <w:tblpPr w:leftFromText="180" w:rightFromText="180" w:vertAnchor="text" w:horzAnchor="margin" w:tblpY="-9"/>
        <w:tblOverlap w:val="never"/>
        <w:tblW w:w="9318"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2180"/>
        <w:gridCol w:w="2671"/>
        <w:gridCol w:w="2353"/>
        <w:gridCol w:w="2114"/>
      </w:tblGrid>
      <w:tr w14:paraId="3F1DAC7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2180" w:type="dxa"/>
            <w:tcBorders>
              <w:top w:val="single" w:color="auto" w:sz="4" w:space="0"/>
              <w:left w:val="single" w:color="auto" w:sz="4" w:space="0"/>
              <w:bottom w:val="single" w:color="auto" w:sz="4" w:space="0"/>
              <w:right w:val="single" w:color="auto" w:sz="4" w:space="0"/>
            </w:tcBorders>
            <w:vAlign w:val="center"/>
          </w:tcPr>
          <w:p w14:paraId="03B0F3DB">
            <w:pPr>
              <w:snapToGrid w:val="0"/>
              <w:spacing w:before="156" w:beforeLines="50" w:line="360" w:lineRule="auto"/>
              <w:jc w:val="center"/>
              <w:rPr>
                <w:rFonts w:ascii="宋体" w:hAnsi="宋体" w:cs="仿宋_GB2312"/>
                <w:color w:val="auto"/>
                <w:sz w:val="24"/>
                <w:highlight w:val="none"/>
              </w:rPr>
            </w:pPr>
            <w:r>
              <w:rPr>
                <w:rFonts w:hint="eastAsia" w:ascii="宋体" w:hAnsi="宋体" w:cs="仿宋_GB2312"/>
                <w:color w:val="auto"/>
                <w:sz w:val="24"/>
                <w:highlight w:val="none"/>
              </w:rPr>
              <w:t>项目</w:t>
            </w:r>
          </w:p>
        </w:tc>
        <w:tc>
          <w:tcPr>
            <w:tcW w:w="2671" w:type="dxa"/>
            <w:tcBorders>
              <w:top w:val="single" w:color="auto" w:sz="4" w:space="0"/>
              <w:left w:val="single" w:color="auto" w:sz="4" w:space="0"/>
              <w:bottom w:val="single" w:color="auto" w:sz="4" w:space="0"/>
              <w:right w:val="single" w:color="auto" w:sz="4" w:space="0"/>
            </w:tcBorders>
            <w:vAlign w:val="center"/>
          </w:tcPr>
          <w:p w14:paraId="1379B163">
            <w:pPr>
              <w:snapToGrid w:val="0"/>
              <w:spacing w:before="156" w:beforeLines="50" w:line="360" w:lineRule="auto"/>
              <w:jc w:val="center"/>
              <w:rPr>
                <w:rFonts w:ascii="宋体" w:hAnsi="宋体" w:cs="仿宋_GB2312"/>
                <w:color w:val="auto"/>
                <w:sz w:val="24"/>
                <w:highlight w:val="none"/>
              </w:rPr>
            </w:pPr>
            <w:r>
              <w:rPr>
                <w:rFonts w:hint="eastAsia" w:ascii="宋体" w:hAnsi="宋体" w:cs="仿宋_GB2312"/>
                <w:color w:val="auto"/>
                <w:sz w:val="24"/>
                <w:highlight w:val="none"/>
              </w:rPr>
              <w:t>磋商文件商务条款要求</w:t>
            </w:r>
          </w:p>
        </w:tc>
        <w:tc>
          <w:tcPr>
            <w:tcW w:w="2353" w:type="dxa"/>
            <w:tcBorders>
              <w:top w:val="single" w:color="auto" w:sz="4" w:space="0"/>
              <w:left w:val="single" w:color="auto" w:sz="4" w:space="0"/>
              <w:bottom w:val="single" w:color="auto" w:sz="4" w:space="0"/>
              <w:right w:val="single" w:color="auto" w:sz="4" w:space="0"/>
            </w:tcBorders>
            <w:vAlign w:val="center"/>
          </w:tcPr>
          <w:p w14:paraId="4AD0D440">
            <w:pPr>
              <w:snapToGrid w:val="0"/>
              <w:spacing w:before="156" w:beforeLines="50" w:line="360" w:lineRule="auto"/>
              <w:jc w:val="center"/>
              <w:rPr>
                <w:rFonts w:ascii="宋体" w:hAnsi="宋体" w:cs="仿宋_GB2312"/>
                <w:color w:val="auto"/>
                <w:sz w:val="24"/>
                <w:highlight w:val="none"/>
              </w:rPr>
            </w:pPr>
            <w:r>
              <w:rPr>
                <w:rFonts w:hint="eastAsia" w:ascii="宋体" w:hAnsi="宋体" w:cs="仿宋_GB2312"/>
                <w:color w:val="auto"/>
                <w:sz w:val="24"/>
                <w:highlight w:val="none"/>
              </w:rPr>
              <w:t>供应商的承诺</w:t>
            </w:r>
          </w:p>
        </w:tc>
        <w:tc>
          <w:tcPr>
            <w:tcW w:w="2114" w:type="dxa"/>
            <w:tcBorders>
              <w:top w:val="single" w:color="auto" w:sz="4" w:space="0"/>
              <w:left w:val="single" w:color="auto" w:sz="4" w:space="0"/>
              <w:bottom w:val="single" w:color="auto" w:sz="4" w:space="0"/>
              <w:right w:val="single" w:color="auto" w:sz="4" w:space="0"/>
            </w:tcBorders>
            <w:vAlign w:val="center"/>
          </w:tcPr>
          <w:p w14:paraId="5A759156">
            <w:pPr>
              <w:snapToGrid w:val="0"/>
              <w:spacing w:before="156" w:beforeLines="50" w:line="360" w:lineRule="auto"/>
              <w:jc w:val="center"/>
              <w:rPr>
                <w:rFonts w:ascii="宋体" w:hAnsi="宋体" w:cs="仿宋_GB2312"/>
                <w:color w:val="auto"/>
                <w:sz w:val="24"/>
                <w:highlight w:val="none"/>
              </w:rPr>
            </w:pPr>
            <w:r>
              <w:rPr>
                <w:rFonts w:hint="eastAsia" w:ascii="宋体" w:hAnsi="宋体" w:cs="仿宋_GB2312"/>
                <w:color w:val="auto"/>
                <w:sz w:val="24"/>
                <w:highlight w:val="none"/>
              </w:rPr>
              <w:t>偏离说明</w:t>
            </w:r>
          </w:p>
        </w:tc>
      </w:tr>
      <w:tr w14:paraId="43BBAD7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5" w:hRule="atLeast"/>
        </w:trPr>
        <w:tc>
          <w:tcPr>
            <w:tcW w:w="2180" w:type="dxa"/>
            <w:tcBorders>
              <w:top w:val="single" w:color="auto" w:sz="4" w:space="0"/>
              <w:left w:val="single" w:color="auto" w:sz="4" w:space="0"/>
              <w:bottom w:val="single" w:color="auto" w:sz="4" w:space="0"/>
              <w:right w:val="single" w:color="auto" w:sz="4" w:space="0"/>
            </w:tcBorders>
            <w:vAlign w:val="center"/>
          </w:tcPr>
          <w:p w14:paraId="3AE58E9E">
            <w:pPr>
              <w:snapToGrid w:val="0"/>
              <w:spacing w:line="360" w:lineRule="auto"/>
              <w:jc w:val="center"/>
              <w:rPr>
                <w:rFonts w:ascii="宋体" w:hAnsi="宋体" w:cs="仿宋_GB2312"/>
                <w:color w:val="auto"/>
                <w:sz w:val="24"/>
                <w:highlight w:val="none"/>
              </w:rPr>
            </w:pPr>
            <w:r>
              <w:rPr>
                <w:rFonts w:hint="eastAsia" w:ascii="宋体" w:hAnsi="宋体"/>
                <w:b/>
                <w:color w:val="auto"/>
                <w:szCs w:val="21"/>
                <w:highlight w:val="none"/>
              </w:rPr>
              <w:t>合同签订期</w:t>
            </w:r>
          </w:p>
        </w:tc>
        <w:tc>
          <w:tcPr>
            <w:tcW w:w="2671" w:type="dxa"/>
            <w:tcBorders>
              <w:top w:val="single" w:color="auto" w:sz="4" w:space="0"/>
              <w:left w:val="single" w:color="auto" w:sz="4" w:space="0"/>
              <w:bottom w:val="single" w:color="auto" w:sz="4" w:space="0"/>
              <w:right w:val="single" w:color="auto" w:sz="4" w:space="0"/>
            </w:tcBorders>
            <w:vAlign w:val="center"/>
          </w:tcPr>
          <w:p w14:paraId="06E5AC8C">
            <w:pPr>
              <w:snapToGrid w:val="0"/>
              <w:spacing w:before="156" w:beforeLines="50" w:line="360" w:lineRule="auto"/>
              <w:jc w:val="center"/>
              <w:rPr>
                <w:rFonts w:ascii="宋体" w:hAnsi="宋体" w:cs="仿宋_GB2312"/>
                <w:color w:val="auto"/>
                <w:sz w:val="24"/>
                <w:highlight w:val="none"/>
              </w:rPr>
            </w:pPr>
          </w:p>
        </w:tc>
        <w:tc>
          <w:tcPr>
            <w:tcW w:w="2353" w:type="dxa"/>
            <w:tcBorders>
              <w:top w:val="single" w:color="auto" w:sz="4" w:space="0"/>
              <w:left w:val="single" w:color="auto" w:sz="4" w:space="0"/>
              <w:bottom w:val="single" w:color="auto" w:sz="4" w:space="0"/>
              <w:right w:val="single" w:color="auto" w:sz="4" w:space="0"/>
            </w:tcBorders>
            <w:vAlign w:val="center"/>
          </w:tcPr>
          <w:p w14:paraId="13A3DD83">
            <w:pPr>
              <w:snapToGrid w:val="0"/>
              <w:spacing w:before="156" w:beforeLines="50" w:line="360" w:lineRule="auto"/>
              <w:jc w:val="center"/>
              <w:rPr>
                <w:rFonts w:ascii="宋体" w:hAnsi="宋体" w:cs="仿宋_GB2312"/>
                <w:color w:val="auto"/>
                <w:sz w:val="24"/>
                <w:highlight w:val="none"/>
              </w:rPr>
            </w:pPr>
          </w:p>
        </w:tc>
        <w:tc>
          <w:tcPr>
            <w:tcW w:w="2114" w:type="dxa"/>
            <w:tcBorders>
              <w:top w:val="single" w:color="auto" w:sz="4" w:space="0"/>
              <w:left w:val="single" w:color="auto" w:sz="4" w:space="0"/>
              <w:bottom w:val="single" w:color="auto" w:sz="4" w:space="0"/>
              <w:right w:val="single" w:color="auto" w:sz="4" w:space="0"/>
            </w:tcBorders>
            <w:vAlign w:val="center"/>
          </w:tcPr>
          <w:p w14:paraId="4CA57F18">
            <w:pPr>
              <w:snapToGrid w:val="0"/>
              <w:spacing w:before="156" w:beforeLines="50" w:line="360" w:lineRule="auto"/>
              <w:jc w:val="center"/>
              <w:rPr>
                <w:rFonts w:ascii="宋体" w:hAnsi="宋体" w:cs="仿宋_GB2312"/>
                <w:color w:val="auto"/>
                <w:sz w:val="24"/>
                <w:highlight w:val="none"/>
              </w:rPr>
            </w:pPr>
          </w:p>
        </w:tc>
      </w:tr>
      <w:tr w14:paraId="4B6FE90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5" w:hRule="atLeast"/>
        </w:trPr>
        <w:tc>
          <w:tcPr>
            <w:tcW w:w="2180" w:type="dxa"/>
            <w:tcBorders>
              <w:top w:val="single" w:color="auto" w:sz="4" w:space="0"/>
              <w:left w:val="single" w:color="auto" w:sz="4" w:space="0"/>
              <w:bottom w:val="single" w:color="auto" w:sz="4" w:space="0"/>
              <w:right w:val="single" w:color="auto" w:sz="4" w:space="0"/>
            </w:tcBorders>
            <w:vAlign w:val="center"/>
          </w:tcPr>
          <w:p w14:paraId="54963441">
            <w:pPr>
              <w:snapToGrid w:val="0"/>
              <w:spacing w:line="360" w:lineRule="auto"/>
              <w:jc w:val="center"/>
              <w:rPr>
                <w:rFonts w:ascii="宋体" w:hAnsi="宋体" w:cs="仿宋_GB2312"/>
                <w:color w:val="auto"/>
                <w:sz w:val="24"/>
                <w:highlight w:val="none"/>
              </w:rPr>
            </w:pPr>
            <w:r>
              <w:rPr>
                <w:rFonts w:hint="eastAsia" w:ascii="宋体" w:hAnsi="宋体"/>
                <w:b/>
                <w:color w:val="auto"/>
                <w:szCs w:val="21"/>
                <w:highlight w:val="none"/>
              </w:rPr>
              <w:t>服务期</w:t>
            </w:r>
          </w:p>
        </w:tc>
        <w:tc>
          <w:tcPr>
            <w:tcW w:w="2671" w:type="dxa"/>
            <w:tcBorders>
              <w:top w:val="single" w:color="auto" w:sz="4" w:space="0"/>
              <w:left w:val="single" w:color="auto" w:sz="4" w:space="0"/>
              <w:bottom w:val="single" w:color="auto" w:sz="4" w:space="0"/>
              <w:right w:val="single" w:color="auto" w:sz="4" w:space="0"/>
            </w:tcBorders>
            <w:vAlign w:val="center"/>
          </w:tcPr>
          <w:p w14:paraId="0A77DF92">
            <w:pPr>
              <w:snapToGrid w:val="0"/>
              <w:spacing w:before="156" w:beforeLines="50" w:line="360" w:lineRule="auto"/>
              <w:jc w:val="center"/>
              <w:rPr>
                <w:rFonts w:ascii="宋体" w:hAnsi="宋体" w:cs="仿宋_GB2312"/>
                <w:color w:val="auto"/>
                <w:sz w:val="24"/>
                <w:highlight w:val="none"/>
              </w:rPr>
            </w:pPr>
          </w:p>
        </w:tc>
        <w:tc>
          <w:tcPr>
            <w:tcW w:w="2353" w:type="dxa"/>
            <w:tcBorders>
              <w:top w:val="single" w:color="auto" w:sz="4" w:space="0"/>
              <w:left w:val="single" w:color="auto" w:sz="4" w:space="0"/>
              <w:bottom w:val="single" w:color="auto" w:sz="4" w:space="0"/>
              <w:right w:val="single" w:color="auto" w:sz="4" w:space="0"/>
            </w:tcBorders>
            <w:vAlign w:val="center"/>
          </w:tcPr>
          <w:p w14:paraId="594B28CB">
            <w:pPr>
              <w:snapToGrid w:val="0"/>
              <w:spacing w:before="156" w:beforeLines="50" w:line="360" w:lineRule="auto"/>
              <w:ind w:left="43"/>
              <w:jc w:val="center"/>
              <w:rPr>
                <w:rFonts w:ascii="宋体" w:hAnsi="宋体" w:cs="仿宋_GB2312"/>
                <w:color w:val="auto"/>
                <w:sz w:val="24"/>
                <w:highlight w:val="none"/>
              </w:rPr>
            </w:pPr>
          </w:p>
        </w:tc>
        <w:tc>
          <w:tcPr>
            <w:tcW w:w="2114" w:type="dxa"/>
            <w:tcBorders>
              <w:top w:val="single" w:color="auto" w:sz="4" w:space="0"/>
              <w:left w:val="single" w:color="auto" w:sz="4" w:space="0"/>
              <w:bottom w:val="single" w:color="auto" w:sz="4" w:space="0"/>
              <w:right w:val="single" w:color="auto" w:sz="4" w:space="0"/>
            </w:tcBorders>
            <w:vAlign w:val="center"/>
          </w:tcPr>
          <w:p w14:paraId="4DE93CC7">
            <w:pPr>
              <w:snapToGrid w:val="0"/>
              <w:spacing w:before="156" w:beforeLines="50" w:line="360" w:lineRule="auto"/>
              <w:ind w:left="43"/>
              <w:jc w:val="center"/>
              <w:rPr>
                <w:rFonts w:ascii="宋体" w:hAnsi="宋体" w:cs="仿宋_GB2312"/>
                <w:color w:val="auto"/>
                <w:sz w:val="24"/>
                <w:highlight w:val="none"/>
              </w:rPr>
            </w:pPr>
          </w:p>
        </w:tc>
      </w:tr>
      <w:tr w14:paraId="276E39F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2180" w:type="dxa"/>
            <w:tcBorders>
              <w:top w:val="single" w:color="auto" w:sz="4" w:space="0"/>
              <w:left w:val="single" w:color="auto" w:sz="4" w:space="0"/>
              <w:bottom w:val="single" w:color="auto" w:sz="4" w:space="0"/>
              <w:right w:val="single" w:color="auto" w:sz="4" w:space="0"/>
            </w:tcBorders>
            <w:vAlign w:val="center"/>
          </w:tcPr>
          <w:p w14:paraId="3A1787FB">
            <w:pPr>
              <w:snapToGrid w:val="0"/>
              <w:spacing w:line="360" w:lineRule="auto"/>
              <w:jc w:val="center"/>
              <w:rPr>
                <w:rFonts w:ascii="宋体" w:hAnsi="宋体" w:cs="仿宋_GB2312"/>
                <w:color w:val="auto"/>
                <w:sz w:val="24"/>
                <w:highlight w:val="none"/>
              </w:rPr>
            </w:pPr>
            <w:r>
              <w:rPr>
                <w:rFonts w:hint="eastAsia" w:ascii="宋体" w:hAnsi="宋体"/>
                <w:b/>
                <w:color w:val="auto"/>
                <w:szCs w:val="21"/>
                <w:highlight w:val="none"/>
              </w:rPr>
              <w:t>服务地点</w:t>
            </w:r>
          </w:p>
        </w:tc>
        <w:tc>
          <w:tcPr>
            <w:tcW w:w="2671" w:type="dxa"/>
            <w:tcBorders>
              <w:top w:val="single" w:color="auto" w:sz="4" w:space="0"/>
              <w:left w:val="single" w:color="auto" w:sz="4" w:space="0"/>
              <w:bottom w:val="single" w:color="auto" w:sz="4" w:space="0"/>
              <w:right w:val="single" w:color="auto" w:sz="4" w:space="0"/>
            </w:tcBorders>
            <w:vAlign w:val="center"/>
          </w:tcPr>
          <w:p w14:paraId="1E96DF0D">
            <w:pPr>
              <w:snapToGrid w:val="0"/>
              <w:spacing w:before="156" w:beforeLines="50" w:line="360" w:lineRule="auto"/>
              <w:jc w:val="center"/>
              <w:rPr>
                <w:rFonts w:ascii="宋体" w:hAnsi="宋体" w:cs="仿宋_GB2312"/>
                <w:color w:val="auto"/>
                <w:sz w:val="24"/>
                <w:highlight w:val="none"/>
              </w:rPr>
            </w:pPr>
          </w:p>
        </w:tc>
        <w:tc>
          <w:tcPr>
            <w:tcW w:w="2353" w:type="dxa"/>
            <w:tcBorders>
              <w:top w:val="single" w:color="auto" w:sz="4" w:space="0"/>
              <w:left w:val="single" w:color="auto" w:sz="4" w:space="0"/>
              <w:bottom w:val="single" w:color="auto" w:sz="4" w:space="0"/>
              <w:right w:val="single" w:color="auto" w:sz="4" w:space="0"/>
            </w:tcBorders>
            <w:vAlign w:val="center"/>
          </w:tcPr>
          <w:p w14:paraId="7CE18EEF">
            <w:pPr>
              <w:snapToGrid w:val="0"/>
              <w:spacing w:before="156" w:beforeLines="50" w:line="360" w:lineRule="auto"/>
              <w:jc w:val="center"/>
              <w:rPr>
                <w:rFonts w:ascii="宋体" w:hAnsi="宋体" w:cs="仿宋_GB2312"/>
                <w:color w:val="auto"/>
                <w:sz w:val="24"/>
                <w:highlight w:val="none"/>
              </w:rPr>
            </w:pPr>
          </w:p>
        </w:tc>
        <w:tc>
          <w:tcPr>
            <w:tcW w:w="2114" w:type="dxa"/>
            <w:tcBorders>
              <w:top w:val="single" w:color="auto" w:sz="4" w:space="0"/>
              <w:left w:val="single" w:color="auto" w:sz="4" w:space="0"/>
              <w:bottom w:val="single" w:color="auto" w:sz="4" w:space="0"/>
              <w:right w:val="single" w:color="auto" w:sz="4" w:space="0"/>
            </w:tcBorders>
            <w:vAlign w:val="center"/>
          </w:tcPr>
          <w:p w14:paraId="5A528294">
            <w:pPr>
              <w:snapToGrid w:val="0"/>
              <w:spacing w:before="156" w:beforeLines="50" w:line="360" w:lineRule="auto"/>
              <w:jc w:val="center"/>
              <w:rPr>
                <w:rFonts w:ascii="宋体" w:hAnsi="宋体" w:cs="仿宋_GB2312"/>
                <w:color w:val="auto"/>
                <w:sz w:val="24"/>
                <w:highlight w:val="none"/>
              </w:rPr>
            </w:pPr>
          </w:p>
        </w:tc>
      </w:tr>
      <w:tr w14:paraId="1E344C2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5" w:hRule="atLeast"/>
        </w:trPr>
        <w:tc>
          <w:tcPr>
            <w:tcW w:w="2180" w:type="dxa"/>
            <w:tcBorders>
              <w:top w:val="single" w:color="auto" w:sz="4" w:space="0"/>
              <w:left w:val="single" w:color="auto" w:sz="4" w:space="0"/>
              <w:bottom w:val="single" w:color="auto" w:sz="4" w:space="0"/>
              <w:right w:val="single" w:color="auto" w:sz="4" w:space="0"/>
            </w:tcBorders>
            <w:vAlign w:val="center"/>
          </w:tcPr>
          <w:p w14:paraId="5151E68A">
            <w:pPr>
              <w:snapToGrid w:val="0"/>
              <w:spacing w:line="360" w:lineRule="auto"/>
              <w:jc w:val="center"/>
              <w:rPr>
                <w:rFonts w:ascii="宋体" w:hAnsi="宋体" w:cs="仿宋_GB2312"/>
                <w:color w:val="auto"/>
                <w:sz w:val="24"/>
                <w:highlight w:val="none"/>
              </w:rPr>
            </w:pPr>
            <w:r>
              <w:rPr>
                <w:rFonts w:hint="eastAsia" w:ascii="宋体" w:hAnsi="宋体"/>
                <w:b/>
                <w:color w:val="auto"/>
                <w:szCs w:val="21"/>
                <w:highlight w:val="none"/>
              </w:rPr>
              <w:t>付款方式</w:t>
            </w:r>
          </w:p>
        </w:tc>
        <w:tc>
          <w:tcPr>
            <w:tcW w:w="2671" w:type="dxa"/>
            <w:tcBorders>
              <w:top w:val="single" w:color="auto" w:sz="4" w:space="0"/>
              <w:left w:val="single" w:color="auto" w:sz="4" w:space="0"/>
              <w:bottom w:val="single" w:color="auto" w:sz="4" w:space="0"/>
              <w:right w:val="single" w:color="auto" w:sz="4" w:space="0"/>
            </w:tcBorders>
            <w:vAlign w:val="center"/>
          </w:tcPr>
          <w:p w14:paraId="5D775068">
            <w:pPr>
              <w:snapToGrid w:val="0"/>
              <w:spacing w:before="156" w:beforeLines="50" w:line="360" w:lineRule="auto"/>
              <w:jc w:val="center"/>
              <w:rPr>
                <w:rFonts w:ascii="宋体" w:hAnsi="宋体" w:cs="仿宋_GB2312"/>
                <w:color w:val="auto"/>
                <w:sz w:val="24"/>
                <w:highlight w:val="none"/>
              </w:rPr>
            </w:pPr>
          </w:p>
        </w:tc>
        <w:tc>
          <w:tcPr>
            <w:tcW w:w="2353" w:type="dxa"/>
            <w:tcBorders>
              <w:top w:val="single" w:color="auto" w:sz="4" w:space="0"/>
              <w:left w:val="single" w:color="auto" w:sz="4" w:space="0"/>
              <w:bottom w:val="single" w:color="auto" w:sz="4" w:space="0"/>
              <w:right w:val="single" w:color="auto" w:sz="4" w:space="0"/>
            </w:tcBorders>
            <w:vAlign w:val="center"/>
          </w:tcPr>
          <w:p w14:paraId="1AF8DEFC">
            <w:pPr>
              <w:snapToGrid w:val="0"/>
              <w:spacing w:before="156" w:beforeLines="50" w:line="360" w:lineRule="auto"/>
              <w:jc w:val="center"/>
              <w:rPr>
                <w:rFonts w:ascii="宋体" w:hAnsi="宋体" w:cs="仿宋_GB2312"/>
                <w:color w:val="auto"/>
                <w:sz w:val="24"/>
                <w:highlight w:val="none"/>
              </w:rPr>
            </w:pPr>
          </w:p>
        </w:tc>
        <w:tc>
          <w:tcPr>
            <w:tcW w:w="2114" w:type="dxa"/>
            <w:tcBorders>
              <w:top w:val="single" w:color="auto" w:sz="4" w:space="0"/>
              <w:left w:val="single" w:color="auto" w:sz="4" w:space="0"/>
              <w:bottom w:val="single" w:color="auto" w:sz="4" w:space="0"/>
              <w:right w:val="single" w:color="auto" w:sz="4" w:space="0"/>
            </w:tcBorders>
            <w:vAlign w:val="center"/>
          </w:tcPr>
          <w:p w14:paraId="74DC7FDF">
            <w:pPr>
              <w:snapToGrid w:val="0"/>
              <w:spacing w:before="156" w:beforeLines="50" w:line="360" w:lineRule="auto"/>
              <w:jc w:val="center"/>
              <w:rPr>
                <w:rFonts w:ascii="宋体" w:hAnsi="宋体" w:cs="仿宋_GB2312"/>
                <w:color w:val="auto"/>
                <w:sz w:val="24"/>
                <w:highlight w:val="none"/>
              </w:rPr>
            </w:pPr>
          </w:p>
        </w:tc>
      </w:tr>
      <w:tr w14:paraId="01DF699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5" w:hRule="atLeast"/>
        </w:trPr>
        <w:tc>
          <w:tcPr>
            <w:tcW w:w="2180" w:type="dxa"/>
            <w:tcBorders>
              <w:top w:val="single" w:color="auto" w:sz="4" w:space="0"/>
              <w:left w:val="single" w:color="auto" w:sz="4" w:space="0"/>
              <w:bottom w:val="single" w:color="auto" w:sz="4" w:space="0"/>
              <w:right w:val="single" w:color="auto" w:sz="4" w:space="0"/>
            </w:tcBorders>
            <w:vAlign w:val="center"/>
          </w:tcPr>
          <w:p w14:paraId="63E9D539">
            <w:pPr>
              <w:snapToGrid w:val="0"/>
              <w:spacing w:line="360" w:lineRule="auto"/>
              <w:jc w:val="center"/>
              <w:rPr>
                <w:rFonts w:hint="eastAsia" w:ascii="宋体" w:hAnsi="宋体" w:cs="仿宋_GB2312"/>
                <w:color w:val="auto"/>
                <w:sz w:val="24"/>
                <w:highlight w:val="none"/>
              </w:rPr>
            </w:pPr>
            <w:r>
              <w:rPr>
                <w:rFonts w:hint="eastAsia" w:ascii="宋体" w:hAnsi="宋体"/>
                <w:b/>
                <w:color w:val="auto"/>
                <w:szCs w:val="21"/>
                <w:highlight w:val="none"/>
              </w:rPr>
              <w:t>质量保证要求</w:t>
            </w:r>
          </w:p>
        </w:tc>
        <w:tc>
          <w:tcPr>
            <w:tcW w:w="2671" w:type="dxa"/>
            <w:tcBorders>
              <w:top w:val="single" w:color="auto" w:sz="4" w:space="0"/>
              <w:left w:val="single" w:color="auto" w:sz="4" w:space="0"/>
              <w:bottom w:val="single" w:color="auto" w:sz="4" w:space="0"/>
              <w:right w:val="single" w:color="auto" w:sz="4" w:space="0"/>
            </w:tcBorders>
            <w:vAlign w:val="center"/>
          </w:tcPr>
          <w:p w14:paraId="5B8B32CD">
            <w:pPr>
              <w:snapToGrid w:val="0"/>
              <w:spacing w:before="156" w:beforeLines="50" w:line="360" w:lineRule="auto"/>
              <w:jc w:val="center"/>
              <w:rPr>
                <w:rFonts w:ascii="宋体" w:hAnsi="宋体" w:cs="仿宋_GB2312"/>
                <w:color w:val="auto"/>
                <w:sz w:val="24"/>
                <w:highlight w:val="none"/>
              </w:rPr>
            </w:pPr>
          </w:p>
        </w:tc>
        <w:tc>
          <w:tcPr>
            <w:tcW w:w="2353" w:type="dxa"/>
            <w:tcBorders>
              <w:top w:val="single" w:color="auto" w:sz="4" w:space="0"/>
              <w:left w:val="single" w:color="auto" w:sz="4" w:space="0"/>
              <w:bottom w:val="single" w:color="auto" w:sz="4" w:space="0"/>
              <w:right w:val="single" w:color="auto" w:sz="4" w:space="0"/>
            </w:tcBorders>
            <w:vAlign w:val="center"/>
          </w:tcPr>
          <w:p w14:paraId="1176F61F">
            <w:pPr>
              <w:snapToGrid w:val="0"/>
              <w:spacing w:before="156" w:beforeLines="50" w:line="360" w:lineRule="auto"/>
              <w:jc w:val="center"/>
              <w:rPr>
                <w:rFonts w:ascii="宋体" w:hAnsi="宋体" w:cs="仿宋_GB2312"/>
                <w:color w:val="auto"/>
                <w:sz w:val="24"/>
                <w:highlight w:val="none"/>
              </w:rPr>
            </w:pPr>
          </w:p>
        </w:tc>
        <w:tc>
          <w:tcPr>
            <w:tcW w:w="2114" w:type="dxa"/>
            <w:tcBorders>
              <w:top w:val="single" w:color="auto" w:sz="4" w:space="0"/>
              <w:left w:val="single" w:color="auto" w:sz="4" w:space="0"/>
              <w:bottom w:val="single" w:color="auto" w:sz="4" w:space="0"/>
              <w:right w:val="single" w:color="auto" w:sz="4" w:space="0"/>
            </w:tcBorders>
            <w:vAlign w:val="center"/>
          </w:tcPr>
          <w:p w14:paraId="28AEAEA8">
            <w:pPr>
              <w:snapToGrid w:val="0"/>
              <w:spacing w:before="156" w:beforeLines="50" w:line="360" w:lineRule="auto"/>
              <w:jc w:val="center"/>
              <w:rPr>
                <w:rFonts w:ascii="宋体" w:hAnsi="宋体" w:cs="仿宋_GB2312"/>
                <w:color w:val="auto"/>
                <w:sz w:val="24"/>
                <w:highlight w:val="none"/>
              </w:rPr>
            </w:pPr>
          </w:p>
        </w:tc>
      </w:tr>
      <w:tr w14:paraId="567F7F1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5" w:hRule="atLeast"/>
        </w:trPr>
        <w:tc>
          <w:tcPr>
            <w:tcW w:w="2180" w:type="dxa"/>
            <w:tcBorders>
              <w:top w:val="single" w:color="auto" w:sz="4" w:space="0"/>
              <w:left w:val="single" w:color="auto" w:sz="4" w:space="0"/>
              <w:bottom w:val="single" w:color="auto" w:sz="4" w:space="0"/>
              <w:right w:val="single" w:color="auto" w:sz="4" w:space="0"/>
            </w:tcBorders>
            <w:vAlign w:val="center"/>
          </w:tcPr>
          <w:p w14:paraId="0A5CDBD0">
            <w:pPr>
              <w:snapToGrid w:val="0"/>
              <w:spacing w:line="360" w:lineRule="auto"/>
              <w:jc w:val="center"/>
              <w:rPr>
                <w:rFonts w:hint="eastAsia" w:ascii="宋体" w:hAnsi="宋体" w:cs="仿宋_GB2312"/>
                <w:color w:val="auto"/>
                <w:sz w:val="24"/>
                <w:highlight w:val="none"/>
              </w:rPr>
            </w:pPr>
            <w:r>
              <w:rPr>
                <w:rFonts w:hint="eastAsia" w:ascii="宋体" w:hAnsi="宋体"/>
                <w:b/>
                <w:color w:val="auto"/>
                <w:szCs w:val="21"/>
                <w:highlight w:val="none"/>
              </w:rPr>
              <w:t>报价要求</w:t>
            </w:r>
          </w:p>
        </w:tc>
        <w:tc>
          <w:tcPr>
            <w:tcW w:w="2671" w:type="dxa"/>
            <w:tcBorders>
              <w:top w:val="single" w:color="auto" w:sz="4" w:space="0"/>
              <w:left w:val="single" w:color="auto" w:sz="4" w:space="0"/>
              <w:bottom w:val="single" w:color="auto" w:sz="4" w:space="0"/>
              <w:right w:val="single" w:color="auto" w:sz="4" w:space="0"/>
            </w:tcBorders>
            <w:vAlign w:val="center"/>
          </w:tcPr>
          <w:p w14:paraId="1026DF0B">
            <w:pPr>
              <w:snapToGrid w:val="0"/>
              <w:spacing w:before="156" w:beforeLines="50" w:line="360" w:lineRule="auto"/>
              <w:jc w:val="center"/>
              <w:rPr>
                <w:rFonts w:ascii="宋体" w:hAnsi="宋体" w:cs="仿宋_GB2312"/>
                <w:color w:val="auto"/>
                <w:sz w:val="24"/>
                <w:highlight w:val="none"/>
              </w:rPr>
            </w:pPr>
          </w:p>
        </w:tc>
        <w:tc>
          <w:tcPr>
            <w:tcW w:w="2353" w:type="dxa"/>
            <w:tcBorders>
              <w:top w:val="single" w:color="auto" w:sz="4" w:space="0"/>
              <w:left w:val="single" w:color="auto" w:sz="4" w:space="0"/>
              <w:bottom w:val="single" w:color="auto" w:sz="4" w:space="0"/>
              <w:right w:val="single" w:color="auto" w:sz="4" w:space="0"/>
            </w:tcBorders>
            <w:vAlign w:val="center"/>
          </w:tcPr>
          <w:p w14:paraId="3E3E07B3">
            <w:pPr>
              <w:snapToGrid w:val="0"/>
              <w:spacing w:before="156" w:beforeLines="50" w:line="360" w:lineRule="auto"/>
              <w:jc w:val="center"/>
              <w:rPr>
                <w:rFonts w:ascii="宋体" w:hAnsi="宋体" w:cs="仿宋_GB2312"/>
                <w:color w:val="auto"/>
                <w:sz w:val="24"/>
                <w:highlight w:val="none"/>
              </w:rPr>
            </w:pPr>
          </w:p>
        </w:tc>
        <w:tc>
          <w:tcPr>
            <w:tcW w:w="2114" w:type="dxa"/>
            <w:tcBorders>
              <w:top w:val="single" w:color="auto" w:sz="4" w:space="0"/>
              <w:left w:val="single" w:color="auto" w:sz="4" w:space="0"/>
              <w:bottom w:val="single" w:color="auto" w:sz="4" w:space="0"/>
              <w:right w:val="single" w:color="auto" w:sz="4" w:space="0"/>
            </w:tcBorders>
            <w:vAlign w:val="center"/>
          </w:tcPr>
          <w:p w14:paraId="60025433">
            <w:pPr>
              <w:snapToGrid w:val="0"/>
              <w:spacing w:before="156" w:beforeLines="50" w:line="360" w:lineRule="auto"/>
              <w:jc w:val="center"/>
              <w:rPr>
                <w:rFonts w:ascii="宋体" w:hAnsi="宋体" w:cs="仿宋_GB2312"/>
                <w:color w:val="auto"/>
                <w:sz w:val="24"/>
                <w:highlight w:val="none"/>
              </w:rPr>
            </w:pPr>
          </w:p>
        </w:tc>
      </w:tr>
      <w:tr w14:paraId="1FF8843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5" w:hRule="atLeast"/>
        </w:trPr>
        <w:tc>
          <w:tcPr>
            <w:tcW w:w="2180" w:type="dxa"/>
            <w:tcBorders>
              <w:top w:val="single" w:color="auto" w:sz="4" w:space="0"/>
              <w:left w:val="single" w:color="auto" w:sz="4" w:space="0"/>
              <w:bottom w:val="single" w:color="auto" w:sz="4" w:space="0"/>
              <w:right w:val="single" w:color="auto" w:sz="4" w:space="0"/>
            </w:tcBorders>
            <w:vAlign w:val="center"/>
          </w:tcPr>
          <w:p w14:paraId="174B0154">
            <w:pPr>
              <w:spacing w:line="360" w:lineRule="auto"/>
              <w:jc w:val="center"/>
              <w:rPr>
                <w:rFonts w:hint="eastAsia" w:ascii="宋体" w:hAnsi="宋体" w:cs="仿宋_GB2312"/>
                <w:color w:val="auto"/>
                <w:sz w:val="24"/>
                <w:highlight w:val="none"/>
              </w:rPr>
            </w:pPr>
            <w:r>
              <w:rPr>
                <w:rFonts w:hint="eastAsia" w:ascii="宋体" w:hAnsi="宋体"/>
                <w:b/>
                <w:color w:val="auto"/>
                <w:szCs w:val="21"/>
                <w:highlight w:val="none"/>
              </w:rPr>
              <w:t>其他要求</w:t>
            </w:r>
          </w:p>
        </w:tc>
        <w:tc>
          <w:tcPr>
            <w:tcW w:w="2671" w:type="dxa"/>
            <w:tcBorders>
              <w:top w:val="single" w:color="auto" w:sz="4" w:space="0"/>
              <w:left w:val="single" w:color="auto" w:sz="4" w:space="0"/>
              <w:bottom w:val="single" w:color="auto" w:sz="4" w:space="0"/>
              <w:right w:val="single" w:color="auto" w:sz="4" w:space="0"/>
            </w:tcBorders>
            <w:vAlign w:val="center"/>
          </w:tcPr>
          <w:p w14:paraId="39958CD9">
            <w:pPr>
              <w:snapToGrid w:val="0"/>
              <w:spacing w:before="156" w:beforeLines="50" w:line="360" w:lineRule="auto"/>
              <w:jc w:val="center"/>
              <w:rPr>
                <w:rFonts w:ascii="宋体" w:hAnsi="宋体" w:cs="仿宋_GB2312"/>
                <w:color w:val="auto"/>
                <w:sz w:val="24"/>
                <w:highlight w:val="none"/>
              </w:rPr>
            </w:pPr>
          </w:p>
        </w:tc>
        <w:tc>
          <w:tcPr>
            <w:tcW w:w="2353" w:type="dxa"/>
            <w:tcBorders>
              <w:top w:val="single" w:color="auto" w:sz="4" w:space="0"/>
              <w:left w:val="single" w:color="auto" w:sz="4" w:space="0"/>
              <w:bottom w:val="single" w:color="auto" w:sz="4" w:space="0"/>
              <w:right w:val="single" w:color="auto" w:sz="4" w:space="0"/>
            </w:tcBorders>
            <w:vAlign w:val="center"/>
          </w:tcPr>
          <w:p w14:paraId="174BB9D0">
            <w:pPr>
              <w:snapToGrid w:val="0"/>
              <w:spacing w:before="156" w:beforeLines="50" w:line="360" w:lineRule="auto"/>
              <w:jc w:val="center"/>
              <w:rPr>
                <w:rFonts w:ascii="宋体" w:hAnsi="宋体" w:cs="仿宋_GB2312"/>
                <w:color w:val="auto"/>
                <w:sz w:val="24"/>
                <w:highlight w:val="none"/>
              </w:rPr>
            </w:pPr>
          </w:p>
        </w:tc>
        <w:tc>
          <w:tcPr>
            <w:tcW w:w="2114" w:type="dxa"/>
            <w:tcBorders>
              <w:top w:val="single" w:color="auto" w:sz="4" w:space="0"/>
              <w:left w:val="single" w:color="auto" w:sz="4" w:space="0"/>
              <w:bottom w:val="single" w:color="auto" w:sz="4" w:space="0"/>
              <w:right w:val="single" w:color="auto" w:sz="4" w:space="0"/>
            </w:tcBorders>
            <w:vAlign w:val="center"/>
          </w:tcPr>
          <w:p w14:paraId="18161785">
            <w:pPr>
              <w:snapToGrid w:val="0"/>
              <w:spacing w:before="156" w:beforeLines="50" w:line="360" w:lineRule="auto"/>
              <w:jc w:val="center"/>
              <w:rPr>
                <w:rFonts w:ascii="宋体" w:hAnsi="宋体" w:cs="仿宋_GB2312"/>
                <w:color w:val="auto"/>
                <w:sz w:val="24"/>
                <w:highlight w:val="none"/>
              </w:rPr>
            </w:pPr>
          </w:p>
        </w:tc>
      </w:tr>
      <w:tr w14:paraId="0C68C00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4" w:hRule="atLeast"/>
        </w:trPr>
        <w:tc>
          <w:tcPr>
            <w:tcW w:w="2180" w:type="dxa"/>
            <w:tcBorders>
              <w:top w:val="single" w:color="auto" w:sz="4" w:space="0"/>
              <w:left w:val="single" w:color="auto" w:sz="4" w:space="0"/>
              <w:bottom w:val="single" w:color="auto" w:sz="4" w:space="0"/>
              <w:right w:val="single" w:color="auto" w:sz="4" w:space="0"/>
            </w:tcBorders>
            <w:vAlign w:val="center"/>
          </w:tcPr>
          <w:p w14:paraId="19C6E367">
            <w:pPr>
              <w:spacing w:line="360" w:lineRule="auto"/>
              <w:jc w:val="center"/>
              <w:rPr>
                <w:rFonts w:hint="eastAsia" w:ascii="宋体" w:hAnsi="宋体" w:cs="仿宋_GB2312"/>
                <w:color w:val="auto"/>
                <w:sz w:val="24"/>
                <w:highlight w:val="none"/>
              </w:rPr>
            </w:pPr>
            <w:r>
              <w:rPr>
                <w:rFonts w:hint="eastAsia" w:ascii="宋体" w:hAnsi="宋体"/>
                <w:b/>
                <w:bCs/>
                <w:color w:val="auto"/>
                <w:szCs w:val="21"/>
                <w:highlight w:val="none"/>
              </w:rPr>
              <w:t>验收方式</w:t>
            </w:r>
          </w:p>
        </w:tc>
        <w:tc>
          <w:tcPr>
            <w:tcW w:w="2671" w:type="dxa"/>
            <w:tcBorders>
              <w:top w:val="single" w:color="auto" w:sz="4" w:space="0"/>
              <w:left w:val="single" w:color="auto" w:sz="4" w:space="0"/>
              <w:bottom w:val="single" w:color="auto" w:sz="4" w:space="0"/>
              <w:right w:val="single" w:color="auto" w:sz="4" w:space="0"/>
            </w:tcBorders>
            <w:vAlign w:val="center"/>
          </w:tcPr>
          <w:p w14:paraId="417E8A22">
            <w:pPr>
              <w:snapToGrid w:val="0"/>
              <w:spacing w:before="156" w:beforeLines="50" w:line="360" w:lineRule="auto"/>
              <w:jc w:val="center"/>
              <w:rPr>
                <w:rFonts w:ascii="宋体" w:hAnsi="宋体" w:cs="仿宋_GB2312"/>
                <w:color w:val="auto"/>
                <w:sz w:val="24"/>
                <w:highlight w:val="none"/>
              </w:rPr>
            </w:pPr>
          </w:p>
        </w:tc>
        <w:tc>
          <w:tcPr>
            <w:tcW w:w="2353" w:type="dxa"/>
            <w:tcBorders>
              <w:top w:val="single" w:color="auto" w:sz="4" w:space="0"/>
              <w:left w:val="single" w:color="auto" w:sz="4" w:space="0"/>
              <w:bottom w:val="single" w:color="auto" w:sz="4" w:space="0"/>
              <w:right w:val="single" w:color="auto" w:sz="4" w:space="0"/>
            </w:tcBorders>
            <w:vAlign w:val="center"/>
          </w:tcPr>
          <w:p w14:paraId="0D54AE18">
            <w:pPr>
              <w:snapToGrid w:val="0"/>
              <w:spacing w:before="156" w:beforeLines="50" w:line="360" w:lineRule="auto"/>
              <w:jc w:val="center"/>
              <w:rPr>
                <w:rFonts w:ascii="宋体" w:hAnsi="宋体" w:cs="仿宋_GB2312"/>
                <w:color w:val="auto"/>
                <w:sz w:val="24"/>
                <w:highlight w:val="none"/>
              </w:rPr>
            </w:pPr>
          </w:p>
        </w:tc>
        <w:tc>
          <w:tcPr>
            <w:tcW w:w="2114" w:type="dxa"/>
            <w:tcBorders>
              <w:top w:val="single" w:color="auto" w:sz="4" w:space="0"/>
              <w:left w:val="single" w:color="auto" w:sz="4" w:space="0"/>
              <w:bottom w:val="single" w:color="auto" w:sz="4" w:space="0"/>
              <w:right w:val="single" w:color="auto" w:sz="4" w:space="0"/>
            </w:tcBorders>
            <w:vAlign w:val="center"/>
          </w:tcPr>
          <w:p w14:paraId="5CBB7DE0">
            <w:pPr>
              <w:snapToGrid w:val="0"/>
              <w:spacing w:before="156" w:beforeLines="50" w:line="360" w:lineRule="auto"/>
              <w:jc w:val="center"/>
              <w:rPr>
                <w:rFonts w:ascii="宋体" w:hAnsi="宋体" w:cs="仿宋_GB2312"/>
                <w:color w:val="auto"/>
                <w:sz w:val="24"/>
                <w:highlight w:val="none"/>
              </w:rPr>
            </w:pPr>
          </w:p>
        </w:tc>
      </w:tr>
    </w:tbl>
    <w:p w14:paraId="4F136330">
      <w:pPr>
        <w:pStyle w:val="14"/>
        <w:rPr>
          <w:rFonts w:ascii="宋体" w:hAnsi="宋体"/>
          <w:color w:val="auto"/>
          <w:kern w:val="0"/>
          <w:sz w:val="24"/>
          <w:szCs w:val="24"/>
          <w:highlight w:val="none"/>
        </w:rPr>
      </w:pPr>
      <w:r>
        <w:rPr>
          <w:rFonts w:hint="eastAsia" w:ascii="宋体" w:hAnsi="宋体"/>
          <w:color w:val="auto"/>
          <w:kern w:val="0"/>
          <w:sz w:val="24"/>
          <w:szCs w:val="24"/>
          <w:highlight w:val="none"/>
        </w:rPr>
        <w:t>注：</w:t>
      </w:r>
    </w:p>
    <w:p w14:paraId="3CD6BFF1">
      <w:pPr>
        <w:pStyle w:val="14"/>
        <w:spacing w:line="360" w:lineRule="auto"/>
        <w:rPr>
          <w:rFonts w:ascii="宋体" w:hAnsi="宋体"/>
          <w:color w:val="auto"/>
          <w:kern w:val="0"/>
          <w:sz w:val="24"/>
          <w:szCs w:val="24"/>
          <w:highlight w:val="none"/>
        </w:rPr>
      </w:pPr>
      <w:r>
        <w:rPr>
          <w:rFonts w:hint="eastAsia" w:ascii="宋体" w:hAnsi="宋体"/>
          <w:color w:val="auto"/>
          <w:kern w:val="0"/>
          <w:sz w:val="24"/>
          <w:szCs w:val="24"/>
          <w:highlight w:val="none"/>
        </w:rPr>
        <w:t>1. 说明：应对照磋商文件“第三章 采购需求”中的商务条款逐条实质性响应，并作出偏离说明。</w:t>
      </w:r>
    </w:p>
    <w:p w14:paraId="6DF5990C">
      <w:pPr>
        <w:snapToGrid w:val="0"/>
        <w:spacing w:before="50" w:line="360" w:lineRule="auto"/>
        <w:jc w:val="left"/>
        <w:rPr>
          <w:rFonts w:ascii="宋体" w:hAnsi="宋体" w:cs="仿宋_GB2312"/>
          <w:color w:val="auto"/>
          <w:sz w:val="24"/>
          <w:highlight w:val="none"/>
          <w:u w:val="single"/>
        </w:rPr>
      </w:pPr>
      <w:r>
        <w:rPr>
          <w:rFonts w:hint="eastAsia" w:ascii="宋体" w:hAnsi="宋体"/>
          <w:color w:val="auto"/>
          <w:kern w:val="0"/>
          <w:sz w:val="24"/>
          <w:highlight w:val="none"/>
        </w:rPr>
        <w:t>2.供应商应根据自身的承诺，对照磋商文件要求在“偏离说明”中注明“正偏离”“负偏离”或者“无偏离”。既不属于“正偏离”也不属于“负偏离”即为“无偏离”。</w:t>
      </w:r>
    </w:p>
    <w:p w14:paraId="0CCB4F33">
      <w:pPr>
        <w:snapToGrid w:val="0"/>
        <w:spacing w:before="50" w:after="50" w:line="360" w:lineRule="auto"/>
        <w:ind w:right="-817" w:rightChars="-389"/>
        <w:rPr>
          <w:rFonts w:ascii="宋体" w:hAnsi="宋体" w:cs="仿宋_GB2312"/>
          <w:color w:val="auto"/>
          <w:sz w:val="24"/>
          <w:highlight w:val="none"/>
        </w:rPr>
      </w:pPr>
    </w:p>
    <w:p w14:paraId="2305E1E3">
      <w:pPr>
        <w:snapToGrid w:val="0"/>
        <w:spacing w:before="50" w:after="50" w:line="360" w:lineRule="auto"/>
        <w:ind w:right="-817" w:rightChars="-389" w:firstLine="960" w:firstLineChars="400"/>
        <w:rPr>
          <w:rFonts w:ascii="宋体" w:hAnsi="宋体" w:cs="仿宋_GB2312"/>
          <w:color w:val="auto"/>
          <w:sz w:val="24"/>
          <w:highlight w:val="none"/>
        </w:rPr>
      </w:pPr>
      <w:r>
        <w:rPr>
          <w:rFonts w:hint="eastAsia" w:ascii="宋体" w:hAnsi="宋体" w:cs="仿宋_GB2312"/>
          <w:color w:val="auto"/>
          <w:sz w:val="24"/>
          <w:highlight w:val="none"/>
        </w:rPr>
        <w:t xml:space="preserve">法定代表人或者委托代理人（签字）：                    </w:t>
      </w:r>
    </w:p>
    <w:p w14:paraId="4881E6A6">
      <w:pPr>
        <w:snapToGrid w:val="0"/>
        <w:spacing w:before="50" w:after="50" w:line="360" w:lineRule="auto"/>
        <w:ind w:right="-817" w:rightChars="-389" w:firstLine="2640" w:firstLineChars="1100"/>
        <w:rPr>
          <w:rFonts w:ascii="宋体" w:hAnsi="宋体" w:cs="仿宋_GB2312"/>
          <w:color w:val="auto"/>
          <w:sz w:val="24"/>
          <w:highlight w:val="none"/>
        </w:rPr>
      </w:pPr>
      <w:r>
        <w:rPr>
          <w:rFonts w:hint="eastAsia" w:ascii="宋体" w:hAnsi="宋体" w:cs="仿宋_GB2312"/>
          <w:color w:val="auto"/>
          <w:sz w:val="24"/>
          <w:highlight w:val="none"/>
        </w:rPr>
        <w:t xml:space="preserve">供应商（盖公章）：      </w:t>
      </w:r>
    </w:p>
    <w:p w14:paraId="4A050DB3">
      <w:pPr>
        <w:snapToGrid w:val="0"/>
        <w:spacing w:before="50" w:after="50" w:line="360" w:lineRule="auto"/>
        <w:ind w:right="-817" w:rightChars="-389" w:firstLine="4080" w:firstLineChars="1700"/>
        <w:rPr>
          <w:rFonts w:ascii="方正小标宋简体" w:hAnsi="方正小标宋简体" w:eastAsia="方正小标宋简体" w:cs="方正小标宋简体"/>
          <w:bCs/>
          <w:color w:val="auto"/>
          <w:sz w:val="44"/>
          <w:szCs w:val="44"/>
          <w:highlight w:val="none"/>
        </w:rPr>
      </w:pPr>
      <w:r>
        <w:rPr>
          <w:rFonts w:hint="eastAsia" w:ascii="宋体" w:hAnsi="宋体" w:cs="仿宋_GB2312"/>
          <w:color w:val="auto"/>
          <w:sz w:val="24"/>
          <w:highlight w:val="none"/>
        </w:rPr>
        <w:t>日期：   年   月   日</w:t>
      </w:r>
    </w:p>
    <w:p w14:paraId="23F33042">
      <w:pPr>
        <w:adjustRightInd w:val="0"/>
        <w:snapToGrid w:val="0"/>
        <w:spacing w:line="520" w:lineRule="exact"/>
        <w:ind w:firstLine="7040" w:firstLineChars="1600"/>
        <w:jc w:val="center"/>
        <w:rPr>
          <w:rFonts w:ascii="方正小标宋简体" w:hAnsi="方正小标宋简体" w:eastAsia="方正小标宋简体" w:cs="方正小标宋简体"/>
          <w:bCs/>
          <w:color w:val="auto"/>
          <w:sz w:val="44"/>
          <w:szCs w:val="44"/>
          <w:highlight w:val="none"/>
        </w:rPr>
      </w:pPr>
    </w:p>
    <w:p w14:paraId="41D9A44D">
      <w:pPr>
        <w:adjustRightInd w:val="0"/>
        <w:snapToGrid w:val="0"/>
        <w:spacing w:line="520" w:lineRule="exact"/>
        <w:ind w:firstLine="7040" w:firstLineChars="1600"/>
        <w:jc w:val="center"/>
        <w:rPr>
          <w:rFonts w:ascii="方正小标宋简体" w:hAnsi="方正小标宋简体" w:eastAsia="方正小标宋简体" w:cs="方正小标宋简体"/>
          <w:bCs/>
          <w:color w:val="auto"/>
          <w:sz w:val="44"/>
          <w:szCs w:val="44"/>
          <w:highlight w:val="none"/>
        </w:rPr>
      </w:pPr>
      <w:r>
        <w:rPr>
          <w:rFonts w:ascii="方正小标宋简体" w:hAnsi="方正小标宋简体" w:eastAsia="方正小标宋简体" w:cs="方正小标宋简体"/>
          <w:bCs/>
          <w:color w:val="auto"/>
          <w:sz w:val="44"/>
          <w:szCs w:val="44"/>
          <w:highlight w:val="none"/>
        </w:rPr>
        <w:br w:type="page"/>
      </w:r>
    </w:p>
    <w:p w14:paraId="52D3C266">
      <w:pPr>
        <w:adjustRightInd w:val="0"/>
        <w:snapToGrid w:val="0"/>
        <w:spacing w:line="300" w:lineRule="auto"/>
        <w:jc w:val="center"/>
        <w:rPr>
          <w:rFonts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rPr>
        <w:t>技术需求偏离表</w:t>
      </w:r>
    </w:p>
    <w:p w14:paraId="765EBC43">
      <w:pPr>
        <w:spacing w:line="520" w:lineRule="exact"/>
        <w:rPr>
          <w:rFonts w:ascii="仿宋_GB2312" w:hAnsi="仿宋_GB2312" w:eastAsia="仿宋_GB2312" w:cs="仿宋_GB2312"/>
          <w:color w:val="auto"/>
          <w:sz w:val="32"/>
          <w:szCs w:val="32"/>
          <w:highlight w:val="none"/>
        </w:rPr>
      </w:pPr>
    </w:p>
    <w:p w14:paraId="1E25094B">
      <w:pPr>
        <w:spacing w:line="360" w:lineRule="auto"/>
        <w:rPr>
          <w:rFonts w:hint="eastAsia" w:ascii="宋体" w:hAnsi="宋体" w:cs="仿宋_GB2312"/>
          <w:color w:val="auto"/>
          <w:sz w:val="24"/>
          <w:highlight w:val="none"/>
        </w:rPr>
      </w:pPr>
      <w:r>
        <w:rPr>
          <w:rFonts w:hint="eastAsia" w:ascii="宋体" w:hAnsi="宋体" w:cs="仿宋_GB2312"/>
          <w:color w:val="auto"/>
          <w:sz w:val="24"/>
          <w:highlight w:val="none"/>
        </w:rPr>
        <w:t xml:space="preserve">采购项目编号：                 </w:t>
      </w:r>
    </w:p>
    <w:p w14:paraId="3823276C">
      <w:pPr>
        <w:spacing w:line="360" w:lineRule="auto"/>
        <w:rPr>
          <w:rFonts w:hint="eastAsia" w:ascii="宋体" w:hAnsi="宋体" w:cs="仿宋_GB2312"/>
          <w:color w:val="auto"/>
          <w:sz w:val="24"/>
          <w:highlight w:val="none"/>
        </w:rPr>
      </w:pPr>
      <w:r>
        <w:rPr>
          <w:rFonts w:hint="eastAsia" w:ascii="宋体" w:hAnsi="宋体" w:cs="仿宋_GB2312"/>
          <w:color w:val="auto"/>
          <w:sz w:val="24"/>
          <w:highlight w:val="none"/>
        </w:rPr>
        <w:t xml:space="preserve">采购项目名称：                 </w:t>
      </w:r>
    </w:p>
    <w:tbl>
      <w:tblPr>
        <w:tblStyle w:val="31"/>
        <w:tblW w:w="9095"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915"/>
        <w:gridCol w:w="915"/>
        <w:gridCol w:w="3038"/>
        <w:gridCol w:w="2735"/>
        <w:gridCol w:w="1492"/>
      </w:tblGrid>
      <w:tr w14:paraId="4236859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915" w:type="dxa"/>
            <w:vAlign w:val="center"/>
          </w:tcPr>
          <w:p w14:paraId="694B2B1A">
            <w:pPr>
              <w:pStyle w:val="3"/>
              <w:spacing w:line="360" w:lineRule="auto"/>
              <w:ind w:firstLine="0" w:firstLineChars="0"/>
              <w:jc w:val="center"/>
              <w:rPr>
                <w:rFonts w:ascii="宋体" w:hAnsi="宋体" w:eastAsia="宋体" w:cs="仿宋_GB2312"/>
                <w:color w:val="auto"/>
                <w:kern w:val="2"/>
                <w:sz w:val="24"/>
                <w:szCs w:val="24"/>
                <w:highlight w:val="none"/>
              </w:rPr>
            </w:pPr>
            <w:bookmarkStart w:id="96" w:name="_Toc295404981"/>
            <w:bookmarkStart w:id="97" w:name="_Toc383699906"/>
            <w:bookmarkStart w:id="98" w:name="_Toc297193185"/>
            <w:bookmarkStart w:id="99" w:name="_Toc254970588"/>
            <w:bookmarkStart w:id="100" w:name="_Toc373333689"/>
            <w:bookmarkStart w:id="101" w:name="_Toc173066401"/>
            <w:bookmarkStart w:id="102" w:name="_Toc254970729"/>
            <w:bookmarkStart w:id="103" w:name="_Toc301781611"/>
            <w:bookmarkStart w:id="104" w:name="_Toc173211900"/>
            <w:r>
              <w:rPr>
                <w:rFonts w:hint="eastAsia" w:ascii="宋体" w:hAnsi="宋体" w:eastAsia="宋体" w:cs="仿宋_GB2312"/>
                <w:color w:val="auto"/>
                <w:kern w:val="2"/>
                <w:sz w:val="24"/>
                <w:szCs w:val="24"/>
                <w:highlight w:val="none"/>
              </w:rPr>
              <w:t>序号</w:t>
            </w:r>
            <w:bookmarkEnd w:id="96"/>
            <w:bookmarkEnd w:id="97"/>
            <w:bookmarkEnd w:id="98"/>
            <w:bookmarkEnd w:id="99"/>
            <w:bookmarkEnd w:id="100"/>
            <w:bookmarkEnd w:id="101"/>
            <w:bookmarkEnd w:id="102"/>
            <w:bookmarkEnd w:id="103"/>
            <w:bookmarkEnd w:id="104"/>
          </w:p>
        </w:tc>
        <w:tc>
          <w:tcPr>
            <w:tcW w:w="915" w:type="dxa"/>
            <w:tcBorders>
              <w:right w:val="single" w:color="auto" w:sz="4" w:space="0"/>
            </w:tcBorders>
            <w:vAlign w:val="center"/>
          </w:tcPr>
          <w:p w14:paraId="7CD0BCA3">
            <w:pPr>
              <w:pStyle w:val="3"/>
              <w:spacing w:line="360" w:lineRule="auto"/>
              <w:ind w:firstLine="0" w:firstLineChars="0"/>
              <w:jc w:val="center"/>
              <w:rPr>
                <w:rFonts w:ascii="宋体" w:hAnsi="宋体" w:eastAsia="宋体" w:cs="仿宋_GB2312"/>
                <w:color w:val="auto"/>
                <w:kern w:val="2"/>
                <w:sz w:val="24"/>
                <w:szCs w:val="24"/>
                <w:highlight w:val="none"/>
              </w:rPr>
            </w:pPr>
            <w:r>
              <w:rPr>
                <w:rFonts w:hint="eastAsia" w:ascii="宋体" w:hAnsi="宋体" w:eastAsia="宋体" w:cs="仿宋_GB2312"/>
                <w:color w:val="auto"/>
                <w:kern w:val="2"/>
                <w:sz w:val="24"/>
                <w:szCs w:val="24"/>
                <w:highlight w:val="none"/>
              </w:rPr>
              <w:t>名称</w:t>
            </w:r>
          </w:p>
        </w:tc>
        <w:tc>
          <w:tcPr>
            <w:tcW w:w="3038" w:type="dxa"/>
            <w:tcBorders>
              <w:left w:val="single" w:color="auto" w:sz="4" w:space="0"/>
            </w:tcBorders>
            <w:vAlign w:val="center"/>
          </w:tcPr>
          <w:p w14:paraId="300CEE29">
            <w:pPr>
              <w:pStyle w:val="3"/>
              <w:spacing w:line="360" w:lineRule="auto"/>
              <w:ind w:firstLine="0" w:firstLineChars="0"/>
              <w:jc w:val="center"/>
              <w:rPr>
                <w:rFonts w:ascii="宋体" w:hAnsi="宋体" w:eastAsia="宋体" w:cs="仿宋_GB2312"/>
                <w:color w:val="auto"/>
                <w:kern w:val="2"/>
                <w:sz w:val="24"/>
                <w:szCs w:val="24"/>
                <w:highlight w:val="none"/>
              </w:rPr>
            </w:pPr>
            <w:r>
              <w:rPr>
                <w:rFonts w:hint="eastAsia" w:ascii="宋体" w:hAnsi="宋体" w:eastAsia="宋体" w:cs="仿宋_GB2312"/>
                <w:color w:val="auto"/>
                <w:kern w:val="2"/>
                <w:sz w:val="24"/>
                <w:szCs w:val="24"/>
                <w:highlight w:val="none"/>
              </w:rPr>
              <w:t>磋商文件技术需求</w:t>
            </w:r>
          </w:p>
        </w:tc>
        <w:tc>
          <w:tcPr>
            <w:tcW w:w="2735" w:type="dxa"/>
            <w:vAlign w:val="center"/>
          </w:tcPr>
          <w:p w14:paraId="4A6F192E">
            <w:pPr>
              <w:pStyle w:val="3"/>
              <w:spacing w:line="360" w:lineRule="auto"/>
              <w:ind w:firstLine="0" w:firstLineChars="0"/>
              <w:jc w:val="center"/>
              <w:rPr>
                <w:rFonts w:ascii="宋体" w:hAnsi="宋体" w:eastAsia="宋体" w:cs="仿宋_GB2312"/>
                <w:color w:val="auto"/>
                <w:kern w:val="2"/>
                <w:sz w:val="24"/>
                <w:szCs w:val="24"/>
                <w:highlight w:val="none"/>
              </w:rPr>
            </w:pPr>
            <w:bookmarkStart w:id="105" w:name="_Toc254970731"/>
            <w:bookmarkStart w:id="106" w:name="_Toc383699908"/>
            <w:bookmarkStart w:id="107" w:name="_Toc254970590"/>
            <w:bookmarkStart w:id="108" w:name="_Toc301781613"/>
            <w:bookmarkStart w:id="109" w:name="_Toc173211902"/>
            <w:bookmarkStart w:id="110" w:name="_Toc297193187"/>
            <w:bookmarkStart w:id="111" w:name="_Toc295404983"/>
            <w:bookmarkStart w:id="112" w:name="_Toc373333691"/>
            <w:bookmarkStart w:id="113" w:name="_Toc173066403"/>
            <w:r>
              <w:rPr>
                <w:rFonts w:hint="eastAsia" w:ascii="宋体" w:hAnsi="宋体" w:eastAsia="宋体" w:cs="仿宋_GB2312"/>
                <w:color w:val="auto"/>
                <w:kern w:val="2"/>
                <w:sz w:val="24"/>
                <w:szCs w:val="24"/>
                <w:highlight w:val="none"/>
              </w:rPr>
              <w:t>竞标响应</w:t>
            </w:r>
            <w:bookmarkEnd w:id="105"/>
            <w:bookmarkEnd w:id="106"/>
            <w:bookmarkEnd w:id="107"/>
            <w:bookmarkEnd w:id="108"/>
            <w:bookmarkEnd w:id="109"/>
            <w:bookmarkEnd w:id="110"/>
            <w:bookmarkEnd w:id="111"/>
            <w:bookmarkEnd w:id="112"/>
            <w:bookmarkEnd w:id="113"/>
          </w:p>
        </w:tc>
        <w:tc>
          <w:tcPr>
            <w:tcW w:w="1492" w:type="dxa"/>
            <w:vAlign w:val="center"/>
          </w:tcPr>
          <w:p w14:paraId="3A6D8269">
            <w:pPr>
              <w:pStyle w:val="3"/>
              <w:spacing w:line="360" w:lineRule="auto"/>
              <w:ind w:firstLine="0" w:firstLineChars="0"/>
              <w:jc w:val="center"/>
              <w:rPr>
                <w:rFonts w:ascii="宋体" w:hAnsi="宋体" w:eastAsia="宋体" w:cs="仿宋_GB2312"/>
                <w:color w:val="auto"/>
                <w:kern w:val="2"/>
                <w:sz w:val="24"/>
                <w:szCs w:val="24"/>
                <w:highlight w:val="none"/>
              </w:rPr>
            </w:pPr>
            <w:bookmarkStart w:id="114" w:name="_Toc173211903"/>
            <w:bookmarkStart w:id="115" w:name="_Toc173066404"/>
            <w:bookmarkStart w:id="116" w:name="_Toc297193188"/>
            <w:bookmarkStart w:id="117" w:name="_Toc254970591"/>
            <w:bookmarkStart w:id="118" w:name="_Toc254970732"/>
            <w:bookmarkStart w:id="119" w:name="_Toc295404984"/>
            <w:bookmarkStart w:id="120" w:name="_Toc373333692"/>
            <w:bookmarkStart w:id="121" w:name="_Toc301781614"/>
            <w:bookmarkStart w:id="122" w:name="_Toc383699909"/>
            <w:r>
              <w:rPr>
                <w:rFonts w:hint="eastAsia" w:ascii="宋体" w:hAnsi="宋体" w:eastAsia="宋体" w:cs="仿宋_GB2312"/>
                <w:color w:val="auto"/>
                <w:kern w:val="2"/>
                <w:sz w:val="24"/>
                <w:szCs w:val="24"/>
                <w:highlight w:val="none"/>
              </w:rPr>
              <w:t>偏离</w:t>
            </w:r>
            <w:bookmarkEnd w:id="114"/>
            <w:bookmarkEnd w:id="115"/>
            <w:bookmarkEnd w:id="116"/>
            <w:bookmarkEnd w:id="117"/>
            <w:bookmarkEnd w:id="118"/>
            <w:bookmarkEnd w:id="119"/>
            <w:bookmarkEnd w:id="120"/>
            <w:bookmarkEnd w:id="121"/>
            <w:bookmarkEnd w:id="122"/>
            <w:bookmarkStart w:id="123" w:name="_Toc173211904"/>
            <w:bookmarkStart w:id="124" w:name="_Toc301781615"/>
            <w:bookmarkStart w:id="125" w:name="_Toc373333693"/>
            <w:bookmarkStart w:id="126" w:name="_Toc254970592"/>
            <w:bookmarkStart w:id="127" w:name="_Toc295404985"/>
            <w:bookmarkStart w:id="128" w:name="_Toc254970733"/>
            <w:bookmarkStart w:id="129" w:name="_Toc173066405"/>
            <w:bookmarkStart w:id="130" w:name="_Toc383699910"/>
            <w:bookmarkStart w:id="131" w:name="_Toc297193189"/>
            <w:r>
              <w:rPr>
                <w:rFonts w:hint="eastAsia" w:ascii="宋体" w:hAnsi="宋体" w:eastAsia="宋体" w:cs="仿宋_GB2312"/>
                <w:color w:val="auto"/>
                <w:kern w:val="2"/>
                <w:sz w:val="24"/>
                <w:szCs w:val="24"/>
                <w:highlight w:val="none"/>
              </w:rPr>
              <w:t>说明</w:t>
            </w:r>
            <w:bookmarkEnd w:id="123"/>
            <w:bookmarkEnd w:id="124"/>
            <w:bookmarkEnd w:id="125"/>
            <w:bookmarkEnd w:id="126"/>
            <w:bookmarkEnd w:id="127"/>
            <w:bookmarkEnd w:id="128"/>
            <w:bookmarkEnd w:id="129"/>
            <w:bookmarkEnd w:id="130"/>
            <w:bookmarkEnd w:id="131"/>
          </w:p>
        </w:tc>
      </w:tr>
      <w:tr w14:paraId="4AFA337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915" w:type="dxa"/>
            <w:vAlign w:val="center"/>
          </w:tcPr>
          <w:p w14:paraId="3CCED03C">
            <w:pPr>
              <w:pStyle w:val="3"/>
              <w:spacing w:line="360" w:lineRule="auto"/>
              <w:ind w:firstLine="0" w:firstLineChars="0"/>
              <w:jc w:val="center"/>
              <w:rPr>
                <w:rFonts w:ascii="宋体" w:hAnsi="宋体" w:eastAsia="宋体" w:cs="仿宋_GB2312"/>
                <w:color w:val="auto"/>
                <w:kern w:val="2"/>
                <w:sz w:val="24"/>
                <w:szCs w:val="24"/>
                <w:highlight w:val="none"/>
              </w:rPr>
            </w:pPr>
            <w:bookmarkStart w:id="132" w:name="_Toc295404986"/>
            <w:bookmarkStart w:id="133" w:name="_Toc297193190"/>
            <w:bookmarkStart w:id="134" w:name="_Toc173066406"/>
            <w:bookmarkStart w:id="135" w:name="_Toc373333694"/>
            <w:bookmarkStart w:id="136" w:name="_Toc254970734"/>
            <w:bookmarkStart w:id="137" w:name="_Toc383699911"/>
            <w:bookmarkStart w:id="138" w:name="_Toc254970593"/>
            <w:bookmarkStart w:id="139" w:name="_Toc301781616"/>
            <w:bookmarkStart w:id="140" w:name="_Toc173211905"/>
            <w:r>
              <w:rPr>
                <w:rFonts w:hint="eastAsia" w:ascii="宋体" w:hAnsi="宋体" w:eastAsia="宋体" w:cs="仿宋_GB2312"/>
                <w:color w:val="auto"/>
                <w:kern w:val="2"/>
                <w:sz w:val="24"/>
                <w:szCs w:val="24"/>
                <w:highlight w:val="none"/>
              </w:rPr>
              <w:t>1</w:t>
            </w:r>
            <w:bookmarkEnd w:id="132"/>
            <w:bookmarkEnd w:id="133"/>
            <w:bookmarkEnd w:id="134"/>
            <w:bookmarkEnd w:id="135"/>
            <w:bookmarkEnd w:id="136"/>
            <w:bookmarkEnd w:id="137"/>
            <w:bookmarkEnd w:id="138"/>
            <w:bookmarkEnd w:id="139"/>
            <w:bookmarkEnd w:id="140"/>
          </w:p>
        </w:tc>
        <w:tc>
          <w:tcPr>
            <w:tcW w:w="915" w:type="dxa"/>
            <w:tcBorders>
              <w:right w:val="single" w:color="auto" w:sz="4" w:space="0"/>
            </w:tcBorders>
            <w:vAlign w:val="center"/>
          </w:tcPr>
          <w:p w14:paraId="677091B8">
            <w:pPr>
              <w:pStyle w:val="3"/>
              <w:spacing w:line="360" w:lineRule="auto"/>
              <w:ind w:firstLine="0" w:firstLineChars="0"/>
              <w:jc w:val="center"/>
              <w:rPr>
                <w:rFonts w:ascii="宋体" w:hAnsi="宋体" w:eastAsia="宋体" w:cs="仿宋_GB2312"/>
                <w:color w:val="auto"/>
                <w:kern w:val="2"/>
                <w:sz w:val="24"/>
                <w:szCs w:val="24"/>
                <w:highlight w:val="none"/>
              </w:rPr>
            </w:pPr>
          </w:p>
        </w:tc>
        <w:tc>
          <w:tcPr>
            <w:tcW w:w="3038" w:type="dxa"/>
            <w:tcBorders>
              <w:left w:val="single" w:color="auto" w:sz="4" w:space="0"/>
            </w:tcBorders>
            <w:vAlign w:val="center"/>
          </w:tcPr>
          <w:p w14:paraId="5A027D66">
            <w:pPr>
              <w:pStyle w:val="3"/>
              <w:spacing w:line="360" w:lineRule="auto"/>
              <w:ind w:firstLine="0" w:firstLineChars="0"/>
              <w:jc w:val="center"/>
              <w:rPr>
                <w:rFonts w:ascii="宋体" w:hAnsi="宋体" w:eastAsia="宋体" w:cs="仿宋_GB2312"/>
                <w:color w:val="auto"/>
                <w:kern w:val="2"/>
                <w:sz w:val="24"/>
                <w:szCs w:val="24"/>
                <w:highlight w:val="none"/>
              </w:rPr>
            </w:pPr>
          </w:p>
        </w:tc>
        <w:tc>
          <w:tcPr>
            <w:tcW w:w="2735" w:type="dxa"/>
            <w:vAlign w:val="center"/>
          </w:tcPr>
          <w:p w14:paraId="2D3DFC91">
            <w:pPr>
              <w:pStyle w:val="3"/>
              <w:spacing w:line="360" w:lineRule="auto"/>
              <w:ind w:firstLine="0" w:firstLineChars="0"/>
              <w:jc w:val="center"/>
              <w:rPr>
                <w:rFonts w:ascii="宋体" w:hAnsi="宋体" w:eastAsia="宋体" w:cs="仿宋_GB2312"/>
                <w:color w:val="auto"/>
                <w:kern w:val="2"/>
                <w:sz w:val="24"/>
                <w:szCs w:val="24"/>
                <w:highlight w:val="none"/>
              </w:rPr>
            </w:pPr>
          </w:p>
        </w:tc>
        <w:tc>
          <w:tcPr>
            <w:tcW w:w="1492" w:type="dxa"/>
            <w:vAlign w:val="center"/>
          </w:tcPr>
          <w:p w14:paraId="5A27455A">
            <w:pPr>
              <w:pStyle w:val="3"/>
              <w:spacing w:line="360" w:lineRule="auto"/>
              <w:ind w:firstLine="0" w:firstLineChars="0"/>
              <w:jc w:val="center"/>
              <w:rPr>
                <w:rFonts w:ascii="宋体" w:hAnsi="宋体" w:eastAsia="宋体" w:cs="仿宋_GB2312"/>
                <w:color w:val="auto"/>
                <w:kern w:val="2"/>
                <w:sz w:val="24"/>
                <w:szCs w:val="24"/>
                <w:highlight w:val="none"/>
              </w:rPr>
            </w:pPr>
          </w:p>
        </w:tc>
      </w:tr>
      <w:tr w14:paraId="46D03DA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915" w:type="dxa"/>
            <w:vAlign w:val="center"/>
          </w:tcPr>
          <w:p w14:paraId="7FD63AB1">
            <w:pPr>
              <w:pStyle w:val="3"/>
              <w:spacing w:line="360" w:lineRule="auto"/>
              <w:ind w:firstLine="0" w:firstLineChars="0"/>
              <w:jc w:val="center"/>
              <w:rPr>
                <w:rFonts w:ascii="宋体" w:hAnsi="宋体" w:eastAsia="宋体" w:cs="仿宋_GB2312"/>
                <w:color w:val="auto"/>
                <w:kern w:val="2"/>
                <w:sz w:val="24"/>
                <w:szCs w:val="24"/>
                <w:highlight w:val="none"/>
              </w:rPr>
            </w:pPr>
            <w:bookmarkStart w:id="141" w:name="_Toc254970735"/>
            <w:bookmarkStart w:id="142" w:name="_Toc373333695"/>
            <w:bookmarkStart w:id="143" w:name="_Toc173211906"/>
            <w:bookmarkStart w:id="144" w:name="_Toc297193191"/>
            <w:bookmarkStart w:id="145" w:name="_Toc254970594"/>
            <w:bookmarkStart w:id="146" w:name="_Toc383699912"/>
            <w:bookmarkStart w:id="147" w:name="_Toc301781617"/>
            <w:bookmarkStart w:id="148" w:name="_Toc295404987"/>
            <w:bookmarkStart w:id="149" w:name="_Toc173066407"/>
            <w:r>
              <w:rPr>
                <w:rFonts w:hint="eastAsia" w:ascii="宋体" w:hAnsi="宋体" w:eastAsia="宋体" w:cs="仿宋_GB2312"/>
                <w:color w:val="auto"/>
                <w:kern w:val="2"/>
                <w:sz w:val="24"/>
                <w:szCs w:val="24"/>
                <w:highlight w:val="none"/>
              </w:rPr>
              <w:t>2</w:t>
            </w:r>
            <w:bookmarkEnd w:id="141"/>
            <w:bookmarkEnd w:id="142"/>
            <w:bookmarkEnd w:id="143"/>
            <w:bookmarkEnd w:id="144"/>
            <w:bookmarkEnd w:id="145"/>
            <w:bookmarkEnd w:id="146"/>
            <w:bookmarkEnd w:id="147"/>
            <w:bookmarkEnd w:id="148"/>
            <w:bookmarkEnd w:id="149"/>
          </w:p>
        </w:tc>
        <w:tc>
          <w:tcPr>
            <w:tcW w:w="915" w:type="dxa"/>
            <w:tcBorders>
              <w:right w:val="single" w:color="auto" w:sz="4" w:space="0"/>
            </w:tcBorders>
            <w:vAlign w:val="center"/>
          </w:tcPr>
          <w:p w14:paraId="75ED95DE">
            <w:pPr>
              <w:pStyle w:val="3"/>
              <w:spacing w:line="360" w:lineRule="auto"/>
              <w:ind w:firstLine="0" w:firstLineChars="0"/>
              <w:jc w:val="center"/>
              <w:rPr>
                <w:rFonts w:ascii="宋体" w:hAnsi="宋体" w:eastAsia="宋体" w:cs="仿宋_GB2312"/>
                <w:color w:val="auto"/>
                <w:kern w:val="2"/>
                <w:sz w:val="24"/>
                <w:szCs w:val="24"/>
                <w:highlight w:val="none"/>
              </w:rPr>
            </w:pPr>
          </w:p>
        </w:tc>
        <w:tc>
          <w:tcPr>
            <w:tcW w:w="3038" w:type="dxa"/>
            <w:tcBorders>
              <w:left w:val="single" w:color="auto" w:sz="4" w:space="0"/>
            </w:tcBorders>
            <w:vAlign w:val="center"/>
          </w:tcPr>
          <w:p w14:paraId="7DEBEAED">
            <w:pPr>
              <w:pStyle w:val="3"/>
              <w:spacing w:line="360" w:lineRule="auto"/>
              <w:ind w:firstLine="0" w:firstLineChars="0"/>
              <w:jc w:val="center"/>
              <w:rPr>
                <w:rFonts w:ascii="宋体" w:hAnsi="宋体" w:eastAsia="宋体" w:cs="仿宋_GB2312"/>
                <w:color w:val="auto"/>
                <w:kern w:val="2"/>
                <w:sz w:val="24"/>
                <w:szCs w:val="24"/>
                <w:highlight w:val="none"/>
              </w:rPr>
            </w:pPr>
          </w:p>
        </w:tc>
        <w:tc>
          <w:tcPr>
            <w:tcW w:w="2735" w:type="dxa"/>
            <w:vAlign w:val="center"/>
          </w:tcPr>
          <w:p w14:paraId="268FFC9C">
            <w:pPr>
              <w:pStyle w:val="3"/>
              <w:spacing w:line="360" w:lineRule="auto"/>
              <w:ind w:firstLine="0" w:firstLineChars="0"/>
              <w:jc w:val="center"/>
              <w:rPr>
                <w:rFonts w:ascii="宋体" w:hAnsi="宋体" w:eastAsia="宋体" w:cs="仿宋_GB2312"/>
                <w:color w:val="auto"/>
                <w:kern w:val="2"/>
                <w:sz w:val="24"/>
                <w:szCs w:val="24"/>
                <w:highlight w:val="none"/>
              </w:rPr>
            </w:pPr>
          </w:p>
        </w:tc>
        <w:tc>
          <w:tcPr>
            <w:tcW w:w="1492" w:type="dxa"/>
            <w:vAlign w:val="center"/>
          </w:tcPr>
          <w:p w14:paraId="08244412">
            <w:pPr>
              <w:pStyle w:val="3"/>
              <w:spacing w:line="360" w:lineRule="auto"/>
              <w:ind w:firstLine="0" w:firstLineChars="0"/>
              <w:jc w:val="center"/>
              <w:rPr>
                <w:rFonts w:ascii="宋体" w:hAnsi="宋体" w:eastAsia="宋体" w:cs="仿宋_GB2312"/>
                <w:color w:val="auto"/>
                <w:kern w:val="2"/>
                <w:sz w:val="24"/>
                <w:szCs w:val="24"/>
                <w:highlight w:val="none"/>
              </w:rPr>
            </w:pPr>
          </w:p>
        </w:tc>
      </w:tr>
      <w:tr w14:paraId="70EC31D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915" w:type="dxa"/>
            <w:vAlign w:val="center"/>
          </w:tcPr>
          <w:p w14:paraId="6C755CA7">
            <w:pPr>
              <w:pStyle w:val="3"/>
              <w:spacing w:line="360" w:lineRule="auto"/>
              <w:ind w:firstLine="0" w:firstLineChars="0"/>
              <w:jc w:val="center"/>
              <w:rPr>
                <w:rFonts w:ascii="宋体" w:hAnsi="宋体" w:eastAsia="宋体" w:cs="仿宋_GB2312"/>
                <w:color w:val="auto"/>
                <w:kern w:val="2"/>
                <w:sz w:val="24"/>
                <w:szCs w:val="24"/>
                <w:highlight w:val="none"/>
              </w:rPr>
            </w:pPr>
            <w:bookmarkStart w:id="150" w:name="_Toc254970736"/>
            <w:bookmarkStart w:id="151" w:name="_Toc373333696"/>
            <w:bookmarkStart w:id="152" w:name="_Toc173066408"/>
            <w:bookmarkStart w:id="153" w:name="_Toc295404988"/>
            <w:bookmarkStart w:id="154" w:name="_Toc297193192"/>
            <w:bookmarkStart w:id="155" w:name="_Toc173211907"/>
            <w:bookmarkStart w:id="156" w:name="_Toc254970595"/>
            <w:bookmarkStart w:id="157" w:name="_Toc383699913"/>
            <w:bookmarkStart w:id="158" w:name="_Toc301781618"/>
            <w:r>
              <w:rPr>
                <w:rFonts w:hint="eastAsia" w:ascii="宋体" w:hAnsi="宋体" w:eastAsia="宋体" w:cs="仿宋_GB2312"/>
                <w:color w:val="auto"/>
                <w:kern w:val="2"/>
                <w:sz w:val="24"/>
                <w:szCs w:val="24"/>
                <w:highlight w:val="none"/>
              </w:rPr>
              <w:t>3</w:t>
            </w:r>
            <w:bookmarkEnd w:id="150"/>
            <w:bookmarkEnd w:id="151"/>
            <w:bookmarkEnd w:id="152"/>
            <w:bookmarkEnd w:id="153"/>
            <w:bookmarkEnd w:id="154"/>
            <w:bookmarkEnd w:id="155"/>
            <w:bookmarkEnd w:id="156"/>
            <w:bookmarkEnd w:id="157"/>
            <w:bookmarkEnd w:id="158"/>
          </w:p>
        </w:tc>
        <w:tc>
          <w:tcPr>
            <w:tcW w:w="915" w:type="dxa"/>
            <w:tcBorders>
              <w:right w:val="single" w:color="auto" w:sz="4" w:space="0"/>
            </w:tcBorders>
            <w:vAlign w:val="center"/>
          </w:tcPr>
          <w:p w14:paraId="7EB03D61">
            <w:pPr>
              <w:pStyle w:val="3"/>
              <w:spacing w:line="360" w:lineRule="auto"/>
              <w:ind w:firstLine="0" w:firstLineChars="0"/>
              <w:jc w:val="center"/>
              <w:rPr>
                <w:rFonts w:ascii="宋体" w:hAnsi="宋体" w:eastAsia="宋体" w:cs="仿宋_GB2312"/>
                <w:color w:val="auto"/>
                <w:kern w:val="2"/>
                <w:sz w:val="24"/>
                <w:szCs w:val="24"/>
                <w:highlight w:val="none"/>
              </w:rPr>
            </w:pPr>
          </w:p>
        </w:tc>
        <w:tc>
          <w:tcPr>
            <w:tcW w:w="3038" w:type="dxa"/>
            <w:tcBorders>
              <w:left w:val="single" w:color="auto" w:sz="4" w:space="0"/>
            </w:tcBorders>
            <w:vAlign w:val="center"/>
          </w:tcPr>
          <w:p w14:paraId="7E4E5A4C">
            <w:pPr>
              <w:pStyle w:val="3"/>
              <w:spacing w:line="360" w:lineRule="auto"/>
              <w:ind w:firstLine="0" w:firstLineChars="0"/>
              <w:jc w:val="center"/>
              <w:rPr>
                <w:rFonts w:ascii="宋体" w:hAnsi="宋体" w:eastAsia="宋体" w:cs="仿宋_GB2312"/>
                <w:color w:val="auto"/>
                <w:kern w:val="2"/>
                <w:sz w:val="24"/>
                <w:szCs w:val="24"/>
                <w:highlight w:val="none"/>
              </w:rPr>
            </w:pPr>
          </w:p>
        </w:tc>
        <w:tc>
          <w:tcPr>
            <w:tcW w:w="2735" w:type="dxa"/>
            <w:vAlign w:val="center"/>
          </w:tcPr>
          <w:p w14:paraId="59F3D5D6">
            <w:pPr>
              <w:pStyle w:val="3"/>
              <w:spacing w:line="360" w:lineRule="auto"/>
              <w:ind w:firstLine="0" w:firstLineChars="0"/>
              <w:jc w:val="center"/>
              <w:rPr>
                <w:rFonts w:ascii="宋体" w:hAnsi="宋体" w:eastAsia="宋体" w:cs="仿宋_GB2312"/>
                <w:color w:val="auto"/>
                <w:kern w:val="2"/>
                <w:sz w:val="24"/>
                <w:szCs w:val="24"/>
                <w:highlight w:val="none"/>
              </w:rPr>
            </w:pPr>
          </w:p>
        </w:tc>
        <w:tc>
          <w:tcPr>
            <w:tcW w:w="1492" w:type="dxa"/>
            <w:vAlign w:val="center"/>
          </w:tcPr>
          <w:p w14:paraId="5D283DED">
            <w:pPr>
              <w:pStyle w:val="3"/>
              <w:spacing w:line="360" w:lineRule="auto"/>
              <w:ind w:firstLine="0" w:firstLineChars="0"/>
              <w:jc w:val="center"/>
              <w:rPr>
                <w:rFonts w:ascii="宋体" w:hAnsi="宋体" w:eastAsia="宋体" w:cs="仿宋_GB2312"/>
                <w:color w:val="auto"/>
                <w:kern w:val="2"/>
                <w:sz w:val="24"/>
                <w:szCs w:val="24"/>
                <w:highlight w:val="none"/>
              </w:rPr>
            </w:pPr>
          </w:p>
        </w:tc>
      </w:tr>
      <w:tr w14:paraId="04FCF77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915" w:type="dxa"/>
            <w:vAlign w:val="center"/>
          </w:tcPr>
          <w:p w14:paraId="1BD0559C">
            <w:pPr>
              <w:pStyle w:val="3"/>
              <w:spacing w:line="360" w:lineRule="auto"/>
              <w:ind w:firstLine="0" w:firstLineChars="0"/>
              <w:jc w:val="center"/>
              <w:rPr>
                <w:rFonts w:ascii="宋体" w:hAnsi="宋体" w:eastAsia="宋体" w:cs="仿宋_GB2312"/>
                <w:color w:val="auto"/>
                <w:kern w:val="2"/>
                <w:sz w:val="24"/>
                <w:szCs w:val="24"/>
                <w:highlight w:val="none"/>
              </w:rPr>
            </w:pPr>
            <w:bookmarkStart w:id="159" w:name="_Toc173211908"/>
            <w:bookmarkStart w:id="160" w:name="_Toc297193193"/>
            <w:bookmarkStart w:id="161" w:name="_Toc254970596"/>
            <w:bookmarkStart w:id="162" w:name="_Toc383699914"/>
            <w:bookmarkStart w:id="163" w:name="_Toc295404989"/>
            <w:bookmarkStart w:id="164" w:name="_Toc301781619"/>
            <w:bookmarkStart w:id="165" w:name="_Toc254970737"/>
            <w:bookmarkStart w:id="166" w:name="_Toc173066409"/>
            <w:bookmarkStart w:id="167" w:name="_Toc373333697"/>
            <w:r>
              <w:rPr>
                <w:rFonts w:hint="eastAsia" w:ascii="宋体" w:hAnsi="宋体" w:eastAsia="宋体" w:cs="仿宋_GB2312"/>
                <w:color w:val="auto"/>
                <w:kern w:val="2"/>
                <w:sz w:val="24"/>
                <w:szCs w:val="24"/>
                <w:highlight w:val="none"/>
              </w:rPr>
              <w:t>4</w:t>
            </w:r>
            <w:bookmarkEnd w:id="159"/>
            <w:bookmarkEnd w:id="160"/>
            <w:bookmarkEnd w:id="161"/>
            <w:bookmarkEnd w:id="162"/>
            <w:bookmarkEnd w:id="163"/>
            <w:bookmarkEnd w:id="164"/>
            <w:bookmarkEnd w:id="165"/>
            <w:bookmarkEnd w:id="166"/>
            <w:bookmarkEnd w:id="167"/>
          </w:p>
        </w:tc>
        <w:tc>
          <w:tcPr>
            <w:tcW w:w="915" w:type="dxa"/>
            <w:tcBorders>
              <w:right w:val="single" w:color="auto" w:sz="4" w:space="0"/>
            </w:tcBorders>
            <w:vAlign w:val="center"/>
          </w:tcPr>
          <w:p w14:paraId="16093B2E">
            <w:pPr>
              <w:pStyle w:val="3"/>
              <w:spacing w:line="360" w:lineRule="auto"/>
              <w:ind w:firstLine="0" w:firstLineChars="0"/>
              <w:jc w:val="center"/>
              <w:rPr>
                <w:rFonts w:ascii="宋体" w:hAnsi="宋体" w:eastAsia="宋体" w:cs="仿宋_GB2312"/>
                <w:color w:val="auto"/>
                <w:kern w:val="2"/>
                <w:sz w:val="24"/>
                <w:szCs w:val="24"/>
                <w:highlight w:val="none"/>
              </w:rPr>
            </w:pPr>
          </w:p>
        </w:tc>
        <w:tc>
          <w:tcPr>
            <w:tcW w:w="3038" w:type="dxa"/>
            <w:tcBorders>
              <w:left w:val="single" w:color="auto" w:sz="4" w:space="0"/>
            </w:tcBorders>
            <w:vAlign w:val="center"/>
          </w:tcPr>
          <w:p w14:paraId="36D0DAC1">
            <w:pPr>
              <w:pStyle w:val="3"/>
              <w:spacing w:line="360" w:lineRule="auto"/>
              <w:ind w:firstLine="0" w:firstLineChars="0"/>
              <w:jc w:val="center"/>
              <w:rPr>
                <w:rFonts w:ascii="宋体" w:hAnsi="宋体" w:eastAsia="宋体" w:cs="仿宋_GB2312"/>
                <w:color w:val="auto"/>
                <w:kern w:val="2"/>
                <w:sz w:val="24"/>
                <w:szCs w:val="24"/>
                <w:highlight w:val="none"/>
              </w:rPr>
            </w:pPr>
          </w:p>
        </w:tc>
        <w:tc>
          <w:tcPr>
            <w:tcW w:w="2735" w:type="dxa"/>
            <w:vAlign w:val="center"/>
          </w:tcPr>
          <w:p w14:paraId="13332EB6">
            <w:pPr>
              <w:pStyle w:val="3"/>
              <w:spacing w:line="360" w:lineRule="auto"/>
              <w:ind w:firstLine="0" w:firstLineChars="0"/>
              <w:jc w:val="center"/>
              <w:rPr>
                <w:rFonts w:ascii="宋体" w:hAnsi="宋体" w:eastAsia="宋体" w:cs="仿宋_GB2312"/>
                <w:color w:val="auto"/>
                <w:kern w:val="2"/>
                <w:sz w:val="24"/>
                <w:szCs w:val="24"/>
                <w:highlight w:val="none"/>
              </w:rPr>
            </w:pPr>
          </w:p>
        </w:tc>
        <w:tc>
          <w:tcPr>
            <w:tcW w:w="1492" w:type="dxa"/>
            <w:vAlign w:val="center"/>
          </w:tcPr>
          <w:p w14:paraId="756136D3">
            <w:pPr>
              <w:pStyle w:val="3"/>
              <w:spacing w:line="360" w:lineRule="auto"/>
              <w:ind w:firstLine="0" w:firstLineChars="0"/>
              <w:jc w:val="center"/>
              <w:rPr>
                <w:rFonts w:ascii="宋体" w:hAnsi="宋体" w:eastAsia="宋体" w:cs="仿宋_GB2312"/>
                <w:color w:val="auto"/>
                <w:kern w:val="2"/>
                <w:sz w:val="24"/>
                <w:szCs w:val="24"/>
                <w:highlight w:val="none"/>
              </w:rPr>
            </w:pPr>
          </w:p>
        </w:tc>
      </w:tr>
      <w:tr w14:paraId="4388FA1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915" w:type="dxa"/>
            <w:vAlign w:val="center"/>
          </w:tcPr>
          <w:p w14:paraId="59203F0E">
            <w:pPr>
              <w:pStyle w:val="3"/>
              <w:spacing w:line="360" w:lineRule="auto"/>
              <w:ind w:firstLine="0" w:firstLineChars="0"/>
              <w:jc w:val="center"/>
              <w:rPr>
                <w:rFonts w:ascii="宋体" w:hAnsi="宋体" w:eastAsia="宋体" w:cs="仿宋_GB2312"/>
                <w:color w:val="auto"/>
                <w:kern w:val="2"/>
                <w:sz w:val="24"/>
                <w:szCs w:val="24"/>
                <w:highlight w:val="none"/>
              </w:rPr>
            </w:pPr>
            <w:bookmarkStart w:id="168" w:name="_Toc383699915"/>
            <w:bookmarkStart w:id="169" w:name="_Toc254970597"/>
            <w:bookmarkStart w:id="170" w:name="_Toc254970738"/>
            <w:bookmarkStart w:id="171" w:name="_Toc173066410"/>
            <w:bookmarkStart w:id="172" w:name="_Toc297193194"/>
            <w:bookmarkStart w:id="173" w:name="_Toc373333698"/>
            <w:bookmarkStart w:id="174" w:name="_Toc295404990"/>
            <w:bookmarkStart w:id="175" w:name="_Toc173211909"/>
            <w:bookmarkStart w:id="176" w:name="_Toc301781620"/>
            <w:r>
              <w:rPr>
                <w:rFonts w:hint="eastAsia" w:ascii="宋体" w:hAnsi="宋体" w:eastAsia="宋体" w:cs="仿宋_GB2312"/>
                <w:color w:val="auto"/>
                <w:kern w:val="2"/>
                <w:sz w:val="24"/>
                <w:szCs w:val="24"/>
                <w:highlight w:val="none"/>
              </w:rPr>
              <w:t>5</w:t>
            </w:r>
            <w:bookmarkEnd w:id="168"/>
            <w:bookmarkEnd w:id="169"/>
            <w:bookmarkEnd w:id="170"/>
            <w:bookmarkEnd w:id="171"/>
            <w:bookmarkEnd w:id="172"/>
            <w:bookmarkEnd w:id="173"/>
            <w:bookmarkEnd w:id="174"/>
            <w:bookmarkEnd w:id="175"/>
            <w:bookmarkEnd w:id="176"/>
          </w:p>
        </w:tc>
        <w:tc>
          <w:tcPr>
            <w:tcW w:w="915" w:type="dxa"/>
            <w:tcBorders>
              <w:right w:val="single" w:color="auto" w:sz="4" w:space="0"/>
            </w:tcBorders>
            <w:vAlign w:val="center"/>
          </w:tcPr>
          <w:p w14:paraId="50984E8A">
            <w:pPr>
              <w:pStyle w:val="3"/>
              <w:spacing w:line="360" w:lineRule="auto"/>
              <w:ind w:firstLine="0" w:firstLineChars="0"/>
              <w:jc w:val="center"/>
              <w:rPr>
                <w:rFonts w:ascii="宋体" w:hAnsi="宋体" w:eastAsia="宋体" w:cs="仿宋_GB2312"/>
                <w:color w:val="auto"/>
                <w:kern w:val="2"/>
                <w:sz w:val="24"/>
                <w:szCs w:val="24"/>
                <w:highlight w:val="none"/>
              </w:rPr>
            </w:pPr>
          </w:p>
        </w:tc>
        <w:tc>
          <w:tcPr>
            <w:tcW w:w="3038" w:type="dxa"/>
            <w:tcBorders>
              <w:left w:val="single" w:color="auto" w:sz="4" w:space="0"/>
            </w:tcBorders>
            <w:vAlign w:val="center"/>
          </w:tcPr>
          <w:p w14:paraId="6D23887B">
            <w:pPr>
              <w:pStyle w:val="3"/>
              <w:spacing w:line="360" w:lineRule="auto"/>
              <w:ind w:firstLine="0" w:firstLineChars="0"/>
              <w:jc w:val="center"/>
              <w:rPr>
                <w:rFonts w:ascii="宋体" w:hAnsi="宋体" w:eastAsia="宋体" w:cs="仿宋_GB2312"/>
                <w:color w:val="auto"/>
                <w:kern w:val="2"/>
                <w:sz w:val="24"/>
                <w:szCs w:val="24"/>
                <w:highlight w:val="none"/>
              </w:rPr>
            </w:pPr>
          </w:p>
        </w:tc>
        <w:tc>
          <w:tcPr>
            <w:tcW w:w="2735" w:type="dxa"/>
            <w:vAlign w:val="center"/>
          </w:tcPr>
          <w:p w14:paraId="150FF5BD">
            <w:pPr>
              <w:pStyle w:val="3"/>
              <w:spacing w:line="360" w:lineRule="auto"/>
              <w:ind w:firstLine="0" w:firstLineChars="0"/>
              <w:jc w:val="center"/>
              <w:rPr>
                <w:rFonts w:ascii="宋体" w:hAnsi="宋体" w:eastAsia="宋体" w:cs="仿宋_GB2312"/>
                <w:color w:val="auto"/>
                <w:kern w:val="2"/>
                <w:sz w:val="24"/>
                <w:szCs w:val="24"/>
                <w:highlight w:val="none"/>
              </w:rPr>
            </w:pPr>
          </w:p>
        </w:tc>
        <w:tc>
          <w:tcPr>
            <w:tcW w:w="1492" w:type="dxa"/>
            <w:vAlign w:val="center"/>
          </w:tcPr>
          <w:p w14:paraId="2748131B">
            <w:pPr>
              <w:pStyle w:val="3"/>
              <w:spacing w:line="360" w:lineRule="auto"/>
              <w:ind w:firstLine="0" w:firstLineChars="0"/>
              <w:jc w:val="center"/>
              <w:rPr>
                <w:rFonts w:ascii="宋体" w:hAnsi="宋体" w:eastAsia="宋体" w:cs="仿宋_GB2312"/>
                <w:color w:val="auto"/>
                <w:kern w:val="2"/>
                <w:sz w:val="24"/>
                <w:szCs w:val="24"/>
                <w:highlight w:val="none"/>
              </w:rPr>
            </w:pPr>
          </w:p>
        </w:tc>
      </w:tr>
      <w:tr w14:paraId="4D60E7B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20" w:hRule="atLeast"/>
          <w:jc w:val="center"/>
        </w:trPr>
        <w:tc>
          <w:tcPr>
            <w:tcW w:w="915" w:type="dxa"/>
            <w:vAlign w:val="center"/>
          </w:tcPr>
          <w:p w14:paraId="660CD366">
            <w:pPr>
              <w:pStyle w:val="3"/>
              <w:spacing w:line="360" w:lineRule="auto"/>
              <w:ind w:firstLine="0" w:firstLineChars="0"/>
              <w:jc w:val="center"/>
              <w:rPr>
                <w:rFonts w:ascii="宋体" w:hAnsi="宋体" w:eastAsia="宋体" w:cs="仿宋_GB2312"/>
                <w:color w:val="auto"/>
                <w:kern w:val="2"/>
                <w:sz w:val="24"/>
                <w:szCs w:val="24"/>
                <w:highlight w:val="none"/>
              </w:rPr>
            </w:pPr>
            <w:bookmarkStart w:id="177" w:name="_Toc173211914"/>
            <w:bookmarkStart w:id="178" w:name="_Toc297193195"/>
            <w:bookmarkStart w:id="179" w:name="_Toc295404991"/>
            <w:bookmarkStart w:id="180" w:name="_Toc254970602"/>
            <w:bookmarkStart w:id="181" w:name="_Toc301781621"/>
            <w:bookmarkStart w:id="182" w:name="_Toc254970743"/>
            <w:bookmarkStart w:id="183" w:name="_Toc173066415"/>
            <w:bookmarkStart w:id="184" w:name="_Toc373333699"/>
            <w:bookmarkStart w:id="185" w:name="_Toc383699916"/>
            <w:r>
              <w:rPr>
                <w:rFonts w:hint="eastAsia" w:ascii="宋体" w:hAnsi="宋体" w:eastAsia="宋体" w:cs="仿宋_GB2312"/>
                <w:color w:val="auto"/>
                <w:kern w:val="2"/>
                <w:sz w:val="24"/>
                <w:szCs w:val="24"/>
                <w:highlight w:val="none"/>
              </w:rPr>
              <w:t>…</w:t>
            </w:r>
            <w:bookmarkEnd w:id="177"/>
            <w:bookmarkEnd w:id="178"/>
            <w:bookmarkEnd w:id="179"/>
            <w:bookmarkEnd w:id="180"/>
            <w:bookmarkEnd w:id="181"/>
            <w:bookmarkEnd w:id="182"/>
            <w:bookmarkEnd w:id="183"/>
            <w:bookmarkEnd w:id="184"/>
            <w:bookmarkEnd w:id="185"/>
          </w:p>
        </w:tc>
        <w:tc>
          <w:tcPr>
            <w:tcW w:w="915" w:type="dxa"/>
            <w:tcBorders>
              <w:right w:val="single" w:color="auto" w:sz="4" w:space="0"/>
            </w:tcBorders>
            <w:vAlign w:val="center"/>
          </w:tcPr>
          <w:p w14:paraId="2BB33505">
            <w:pPr>
              <w:pStyle w:val="3"/>
              <w:spacing w:line="360" w:lineRule="auto"/>
              <w:ind w:firstLine="0" w:firstLineChars="0"/>
              <w:jc w:val="center"/>
              <w:rPr>
                <w:rFonts w:ascii="宋体" w:hAnsi="宋体" w:eastAsia="宋体" w:cs="仿宋_GB2312"/>
                <w:color w:val="auto"/>
                <w:kern w:val="2"/>
                <w:sz w:val="24"/>
                <w:szCs w:val="24"/>
                <w:highlight w:val="none"/>
              </w:rPr>
            </w:pPr>
          </w:p>
        </w:tc>
        <w:tc>
          <w:tcPr>
            <w:tcW w:w="3038" w:type="dxa"/>
            <w:tcBorders>
              <w:left w:val="single" w:color="auto" w:sz="4" w:space="0"/>
            </w:tcBorders>
            <w:vAlign w:val="center"/>
          </w:tcPr>
          <w:p w14:paraId="681BB8EB">
            <w:pPr>
              <w:pStyle w:val="3"/>
              <w:spacing w:line="360" w:lineRule="auto"/>
              <w:ind w:firstLine="0" w:firstLineChars="0"/>
              <w:jc w:val="center"/>
              <w:rPr>
                <w:rFonts w:ascii="宋体" w:hAnsi="宋体" w:eastAsia="宋体" w:cs="仿宋_GB2312"/>
                <w:color w:val="auto"/>
                <w:kern w:val="2"/>
                <w:sz w:val="24"/>
                <w:szCs w:val="24"/>
                <w:highlight w:val="none"/>
              </w:rPr>
            </w:pPr>
          </w:p>
        </w:tc>
        <w:tc>
          <w:tcPr>
            <w:tcW w:w="2735" w:type="dxa"/>
            <w:vAlign w:val="center"/>
          </w:tcPr>
          <w:p w14:paraId="5B95E152">
            <w:pPr>
              <w:pStyle w:val="3"/>
              <w:spacing w:line="360" w:lineRule="auto"/>
              <w:ind w:firstLine="0" w:firstLineChars="0"/>
              <w:jc w:val="center"/>
              <w:rPr>
                <w:rFonts w:ascii="宋体" w:hAnsi="宋体" w:eastAsia="宋体" w:cs="仿宋_GB2312"/>
                <w:color w:val="auto"/>
                <w:kern w:val="2"/>
                <w:sz w:val="24"/>
                <w:szCs w:val="24"/>
                <w:highlight w:val="none"/>
              </w:rPr>
            </w:pPr>
          </w:p>
        </w:tc>
        <w:tc>
          <w:tcPr>
            <w:tcW w:w="1492" w:type="dxa"/>
            <w:tcBorders>
              <w:right w:val="single" w:color="auto" w:sz="4" w:space="0"/>
            </w:tcBorders>
            <w:vAlign w:val="center"/>
          </w:tcPr>
          <w:p w14:paraId="19EF5437">
            <w:pPr>
              <w:pStyle w:val="3"/>
              <w:spacing w:line="360" w:lineRule="auto"/>
              <w:ind w:firstLine="0" w:firstLineChars="0"/>
              <w:jc w:val="center"/>
              <w:rPr>
                <w:rFonts w:ascii="宋体" w:hAnsi="宋体" w:eastAsia="宋体" w:cs="仿宋_GB2312"/>
                <w:color w:val="auto"/>
                <w:kern w:val="2"/>
                <w:sz w:val="24"/>
                <w:szCs w:val="24"/>
                <w:highlight w:val="none"/>
              </w:rPr>
            </w:pPr>
          </w:p>
        </w:tc>
      </w:tr>
    </w:tbl>
    <w:p w14:paraId="6D434AE2">
      <w:pPr>
        <w:adjustRightInd w:val="0"/>
        <w:snapToGrid w:val="0"/>
        <w:spacing w:line="360" w:lineRule="auto"/>
        <w:rPr>
          <w:rFonts w:ascii="宋体" w:hAnsi="宋体" w:cs="仿宋_GB2312"/>
          <w:color w:val="auto"/>
          <w:sz w:val="24"/>
          <w:highlight w:val="none"/>
        </w:rPr>
      </w:pPr>
    </w:p>
    <w:p w14:paraId="0EF87231">
      <w:pPr>
        <w:pStyle w:val="3"/>
        <w:spacing w:line="360" w:lineRule="auto"/>
        <w:ind w:firstLine="0" w:firstLineChars="0"/>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注：</w:t>
      </w:r>
    </w:p>
    <w:p w14:paraId="59135979">
      <w:pPr>
        <w:pStyle w:val="3"/>
        <w:spacing w:line="360" w:lineRule="auto"/>
        <w:ind w:firstLine="0" w:firstLineChars="0"/>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1. 说明：应对照磋商文件“第三章 采购需求”中的技术需求逐条实质性响应，并作出偏离说明。</w:t>
      </w:r>
    </w:p>
    <w:p w14:paraId="5E671846">
      <w:pPr>
        <w:pStyle w:val="3"/>
        <w:spacing w:line="360" w:lineRule="auto"/>
        <w:ind w:firstLine="0" w:firstLineChars="0"/>
        <w:rPr>
          <w:rFonts w:ascii="宋体" w:hAnsi="宋体" w:eastAsia="宋体" w:cs="仿宋_GB2312"/>
          <w:color w:val="auto"/>
          <w:sz w:val="24"/>
          <w:szCs w:val="24"/>
          <w:highlight w:val="none"/>
        </w:rPr>
      </w:pPr>
      <w:r>
        <w:rPr>
          <w:rFonts w:hint="eastAsia" w:ascii="宋体" w:hAnsi="宋体" w:eastAsia="宋体" w:cs="仿宋_GB2312"/>
          <w:color w:val="auto"/>
          <w:sz w:val="24"/>
          <w:szCs w:val="24"/>
          <w:highlight w:val="none"/>
        </w:rPr>
        <w:t>2.供应商应根据自身的承诺，对照磋商文件要求，在“偏离说明”中注明“正偏离”“负偏离”或者“无偏离”。既不属于“正偏离”也不属于“负偏离”即为“无偏离”。</w:t>
      </w:r>
    </w:p>
    <w:p w14:paraId="4BE5A533">
      <w:pPr>
        <w:pStyle w:val="18"/>
        <w:spacing w:line="360" w:lineRule="auto"/>
        <w:rPr>
          <w:rFonts w:hAnsi="宋体" w:cs="仿宋_GB2312"/>
          <w:color w:val="auto"/>
          <w:sz w:val="24"/>
          <w:szCs w:val="24"/>
          <w:highlight w:val="none"/>
        </w:rPr>
      </w:pPr>
    </w:p>
    <w:p w14:paraId="029E1CF2">
      <w:pPr>
        <w:snapToGrid w:val="0"/>
        <w:spacing w:before="50" w:after="50" w:line="360" w:lineRule="auto"/>
        <w:ind w:right="-817" w:rightChars="-389"/>
        <w:rPr>
          <w:rFonts w:ascii="宋体" w:hAnsi="宋体" w:cs="仿宋_GB2312"/>
          <w:color w:val="auto"/>
          <w:sz w:val="24"/>
          <w:highlight w:val="none"/>
        </w:rPr>
      </w:pPr>
    </w:p>
    <w:p w14:paraId="2EC5C307">
      <w:pPr>
        <w:snapToGrid w:val="0"/>
        <w:spacing w:before="50" w:after="50" w:line="360" w:lineRule="auto"/>
        <w:ind w:right="-817" w:rightChars="-389" w:firstLine="960" w:firstLineChars="400"/>
        <w:rPr>
          <w:rFonts w:ascii="宋体" w:hAnsi="宋体" w:cs="仿宋_GB2312"/>
          <w:color w:val="auto"/>
          <w:sz w:val="24"/>
          <w:highlight w:val="none"/>
        </w:rPr>
      </w:pPr>
      <w:r>
        <w:rPr>
          <w:rFonts w:hint="eastAsia" w:ascii="宋体" w:hAnsi="宋体" w:cs="仿宋_GB2312"/>
          <w:color w:val="auto"/>
          <w:sz w:val="24"/>
          <w:highlight w:val="none"/>
        </w:rPr>
        <w:t xml:space="preserve">法定代表人或者委托代理人（签字）：                    </w:t>
      </w:r>
    </w:p>
    <w:p w14:paraId="5FC1FDDE">
      <w:pPr>
        <w:snapToGrid w:val="0"/>
        <w:spacing w:before="50" w:after="50" w:line="360" w:lineRule="auto"/>
        <w:ind w:right="-817" w:rightChars="-389" w:firstLine="2640" w:firstLineChars="1100"/>
        <w:rPr>
          <w:rFonts w:ascii="宋体" w:hAnsi="宋体" w:cs="仿宋_GB2312"/>
          <w:color w:val="auto"/>
          <w:sz w:val="24"/>
          <w:highlight w:val="none"/>
        </w:rPr>
      </w:pPr>
      <w:r>
        <w:rPr>
          <w:rFonts w:hint="eastAsia" w:ascii="宋体" w:hAnsi="宋体" w:cs="仿宋_GB2312"/>
          <w:color w:val="auto"/>
          <w:sz w:val="24"/>
          <w:highlight w:val="none"/>
        </w:rPr>
        <w:t xml:space="preserve">供应商（盖公章）：      </w:t>
      </w:r>
    </w:p>
    <w:p w14:paraId="33E286C6">
      <w:pPr>
        <w:snapToGrid w:val="0"/>
        <w:spacing w:before="50" w:after="50" w:line="360" w:lineRule="auto"/>
        <w:ind w:right="-817" w:rightChars="-389" w:firstLine="4080" w:firstLineChars="1700"/>
        <w:rPr>
          <w:rFonts w:ascii="宋体" w:hAnsi="宋体" w:cs="仿宋_GB2312"/>
          <w:color w:val="auto"/>
          <w:sz w:val="24"/>
          <w:highlight w:val="none"/>
        </w:rPr>
      </w:pPr>
      <w:r>
        <w:rPr>
          <w:rFonts w:hint="eastAsia" w:ascii="宋体" w:hAnsi="宋体" w:cs="仿宋_GB2312"/>
          <w:color w:val="auto"/>
          <w:sz w:val="24"/>
          <w:highlight w:val="none"/>
        </w:rPr>
        <w:t>日期：   年   月   日</w:t>
      </w:r>
    </w:p>
    <w:p w14:paraId="40079B58">
      <w:pPr>
        <w:snapToGrid w:val="0"/>
        <w:spacing w:before="156" w:beforeLines="50" w:after="50"/>
        <w:ind w:left="142"/>
        <w:jc w:val="center"/>
        <w:rPr>
          <w:rFonts w:ascii="宋体" w:hAnsi="宋体"/>
          <w:b/>
          <w:color w:val="auto"/>
          <w:sz w:val="24"/>
          <w:highlight w:val="none"/>
        </w:rPr>
      </w:pPr>
      <w:r>
        <w:rPr>
          <w:rFonts w:ascii="宋体" w:hAnsi="宋体" w:cs="仿宋_GB2312"/>
          <w:color w:val="auto"/>
          <w:sz w:val="24"/>
          <w:highlight w:val="none"/>
        </w:rPr>
        <w:br w:type="page"/>
      </w:r>
      <w:r>
        <w:rPr>
          <w:rFonts w:hint="eastAsia" w:ascii="宋体" w:hAnsi="宋体"/>
          <w:b/>
          <w:color w:val="auto"/>
          <w:sz w:val="24"/>
          <w:highlight w:val="none"/>
        </w:rPr>
        <w:t>项目实施人员一览表格式</w:t>
      </w:r>
    </w:p>
    <w:p w14:paraId="46E47A3E">
      <w:pPr>
        <w:snapToGrid w:val="0"/>
        <w:spacing w:before="156" w:beforeLines="50" w:after="50"/>
        <w:ind w:left="142"/>
        <w:jc w:val="left"/>
        <w:rPr>
          <w:rFonts w:ascii="宋体" w:hAnsi="宋体"/>
          <w:b/>
          <w:color w:val="auto"/>
          <w:sz w:val="24"/>
          <w:highlight w:val="none"/>
        </w:rPr>
      </w:pPr>
    </w:p>
    <w:p w14:paraId="2D54636A">
      <w:pPr>
        <w:snapToGrid w:val="0"/>
        <w:spacing w:before="156" w:beforeLines="50" w:after="50"/>
        <w:ind w:left="142"/>
        <w:jc w:val="center"/>
        <w:rPr>
          <w:rFonts w:ascii="宋体" w:hAnsi="宋体"/>
          <w:b/>
          <w:color w:val="auto"/>
          <w:sz w:val="32"/>
          <w:szCs w:val="32"/>
          <w:highlight w:val="none"/>
        </w:rPr>
      </w:pPr>
      <w:r>
        <w:rPr>
          <w:rFonts w:hint="eastAsia" w:ascii="宋体" w:hAnsi="宋体"/>
          <w:b/>
          <w:color w:val="auto"/>
          <w:sz w:val="32"/>
          <w:szCs w:val="32"/>
          <w:highlight w:val="none"/>
        </w:rPr>
        <w:t>项目实施人员一览表</w:t>
      </w:r>
    </w:p>
    <w:tbl>
      <w:tblPr>
        <w:tblStyle w:val="31"/>
        <w:tblW w:w="87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251"/>
        <w:gridCol w:w="2550"/>
        <w:gridCol w:w="2100"/>
        <w:gridCol w:w="2050"/>
      </w:tblGrid>
      <w:tr w14:paraId="7F827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096CA458">
            <w:pPr>
              <w:snapToGrid w:val="0"/>
              <w:spacing w:before="50" w:after="156" w:afterLines="50"/>
              <w:jc w:val="center"/>
              <w:rPr>
                <w:rFonts w:ascii="宋体" w:hAnsi="宋体"/>
                <w:color w:val="auto"/>
                <w:sz w:val="24"/>
                <w:szCs w:val="20"/>
                <w:highlight w:val="none"/>
              </w:rPr>
            </w:pPr>
            <w:r>
              <w:rPr>
                <w:rFonts w:hint="eastAsia" w:ascii="宋体" w:hAnsi="宋体"/>
                <w:color w:val="auto"/>
                <w:sz w:val="24"/>
                <w:szCs w:val="20"/>
                <w:highlight w:val="none"/>
              </w:rPr>
              <w:t>姓名</w:t>
            </w:r>
          </w:p>
        </w:tc>
        <w:tc>
          <w:tcPr>
            <w:tcW w:w="1251" w:type="dxa"/>
            <w:vAlign w:val="center"/>
          </w:tcPr>
          <w:p w14:paraId="13906179">
            <w:pPr>
              <w:snapToGrid w:val="0"/>
              <w:spacing w:before="50" w:after="156" w:afterLines="50"/>
              <w:jc w:val="center"/>
              <w:rPr>
                <w:rFonts w:ascii="宋体" w:hAnsi="宋体"/>
                <w:color w:val="auto"/>
                <w:sz w:val="24"/>
                <w:szCs w:val="20"/>
                <w:highlight w:val="none"/>
              </w:rPr>
            </w:pPr>
            <w:r>
              <w:rPr>
                <w:rFonts w:hint="eastAsia" w:ascii="宋体" w:hAnsi="宋体"/>
                <w:color w:val="auto"/>
                <w:sz w:val="24"/>
                <w:szCs w:val="20"/>
                <w:highlight w:val="none"/>
              </w:rPr>
              <w:t>职务</w:t>
            </w:r>
          </w:p>
        </w:tc>
        <w:tc>
          <w:tcPr>
            <w:tcW w:w="2550" w:type="dxa"/>
            <w:vAlign w:val="center"/>
          </w:tcPr>
          <w:p w14:paraId="311EE8AD">
            <w:pPr>
              <w:snapToGrid w:val="0"/>
              <w:spacing w:before="50" w:after="156" w:afterLines="50"/>
              <w:jc w:val="center"/>
              <w:rPr>
                <w:rFonts w:ascii="宋体" w:hAnsi="宋体"/>
                <w:color w:val="auto"/>
                <w:sz w:val="24"/>
                <w:szCs w:val="20"/>
                <w:highlight w:val="none"/>
              </w:rPr>
            </w:pPr>
            <w:r>
              <w:rPr>
                <w:rFonts w:hint="eastAsia" w:ascii="宋体" w:hAnsi="宋体"/>
                <w:color w:val="auto"/>
                <w:sz w:val="24"/>
                <w:szCs w:val="20"/>
                <w:highlight w:val="none"/>
              </w:rPr>
              <w:t>专业技术资格（职称）或者职业资格或者执业资格证或者其他证书</w:t>
            </w:r>
          </w:p>
        </w:tc>
        <w:tc>
          <w:tcPr>
            <w:tcW w:w="2100" w:type="dxa"/>
            <w:vAlign w:val="center"/>
          </w:tcPr>
          <w:p w14:paraId="1D01F636">
            <w:pPr>
              <w:snapToGrid w:val="0"/>
              <w:spacing w:before="50" w:after="156" w:afterLines="50"/>
              <w:jc w:val="center"/>
              <w:rPr>
                <w:rFonts w:ascii="宋体" w:hAnsi="宋体"/>
                <w:color w:val="auto"/>
                <w:sz w:val="24"/>
                <w:szCs w:val="20"/>
                <w:highlight w:val="none"/>
              </w:rPr>
            </w:pPr>
            <w:r>
              <w:rPr>
                <w:rFonts w:hint="eastAsia" w:ascii="宋体" w:hAnsi="宋体"/>
                <w:color w:val="auto"/>
                <w:sz w:val="24"/>
                <w:szCs w:val="20"/>
                <w:highlight w:val="none"/>
              </w:rPr>
              <w:t>证书编号</w:t>
            </w:r>
          </w:p>
        </w:tc>
        <w:tc>
          <w:tcPr>
            <w:tcW w:w="2050" w:type="dxa"/>
            <w:vAlign w:val="center"/>
          </w:tcPr>
          <w:p w14:paraId="38163F44">
            <w:pPr>
              <w:snapToGrid w:val="0"/>
              <w:spacing w:before="50" w:after="156" w:afterLines="50"/>
              <w:jc w:val="center"/>
              <w:rPr>
                <w:rFonts w:ascii="宋体" w:hAnsi="宋体"/>
                <w:color w:val="auto"/>
                <w:sz w:val="24"/>
                <w:szCs w:val="20"/>
                <w:highlight w:val="none"/>
              </w:rPr>
            </w:pPr>
            <w:r>
              <w:rPr>
                <w:rFonts w:hint="eastAsia" w:ascii="宋体" w:hAnsi="宋体"/>
                <w:color w:val="auto"/>
                <w:sz w:val="24"/>
                <w:szCs w:val="20"/>
                <w:highlight w:val="none"/>
              </w:rPr>
              <w:t>参加</w:t>
            </w:r>
          </w:p>
          <w:p w14:paraId="7B1EAFF4">
            <w:pPr>
              <w:snapToGrid w:val="0"/>
              <w:spacing w:before="50" w:after="156" w:afterLines="50"/>
              <w:jc w:val="center"/>
              <w:rPr>
                <w:rFonts w:ascii="宋体" w:hAnsi="宋体"/>
                <w:color w:val="auto"/>
                <w:sz w:val="24"/>
                <w:szCs w:val="20"/>
                <w:highlight w:val="none"/>
              </w:rPr>
            </w:pPr>
            <w:r>
              <w:rPr>
                <w:rFonts w:hint="eastAsia" w:ascii="宋体" w:hAnsi="宋体"/>
                <w:color w:val="auto"/>
                <w:sz w:val="24"/>
                <w:szCs w:val="20"/>
                <w:highlight w:val="none"/>
              </w:rPr>
              <w:t>工作时间</w:t>
            </w:r>
          </w:p>
        </w:tc>
      </w:tr>
      <w:tr w14:paraId="1396C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4382721F">
            <w:pPr>
              <w:snapToGrid w:val="0"/>
              <w:spacing w:before="50" w:after="156" w:afterLines="50"/>
              <w:jc w:val="center"/>
              <w:rPr>
                <w:rFonts w:ascii="宋体" w:hAnsi="宋体"/>
                <w:color w:val="auto"/>
                <w:sz w:val="24"/>
                <w:szCs w:val="20"/>
                <w:highlight w:val="none"/>
              </w:rPr>
            </w:pPr>
          </w:p>
        </w:tc>
        <w:tc>
          <w:tcPr>
            <w:tcW w:w="1251" w:type="dxa"/>
            <w:vAlign w:val="center"/>
          </w:tcPr>
          <w:p w14:paraId="01EB538E">
            <w:pPr>
              <w:snapToGrid w:val="0"/>
              <w:spacing w:before="50" w:after="156" w:afterLines="50"/>
              <w:jc w:val="center"/>
              <w:rPr>
                <w:rFonts w:ascii="宋体" w:hAnsi="宋体"/>
                <w:color w:val="auto"/>
                <w:sz w:val="24"/>
                <w:szCs w:val="20"/>
                <w:highlight w:val="none"/>
              </w:rPr>
            </w:pPr>
          </w:p>
        </w:tc>
        <w:tc>
          <w:tcPr>
            <w:tcW w:w="2550" w:type="dxa"/>
            <w:vAlign w:val="center"/>
          </w:tcPr>
          <w:p w14:paraId="14E798A0">
            <w:pPr>
              <w:snapToGrid w:val="0"/>
              <w:spacing w:before="50" w:after="156" w:afterLines="50"/>
              <w:jc w:val="center"/>
              <w:rPr>
                <w:rFonts w:ascii="宋体" w:hAnsi="宋体"/>
                <w:color w:val="auto"/>
                <w:sz w:val="24"/>
                <w:szCs w:val="20"/>
                <w:highlight w:val="none"/>
              </w:rPr>
            </w:pPr>
          </w:p>
        </w:tc>
        <w:tc>
          <w:tcPr>
            <w:tcW w:w="2100" w:type="dxa"/>
            <w:vAlign w:val="center"/>
          </w:tcPr>
          <w:p w14:paraId="679A1A34">
            <w:pPr>
              <w:snapToGrid w:val="0"/>
              <w:spacing w:before="50" w:after="156" w:afterLines="50"/>
              <w:jc w:val="center"/>
              <w:rPr>
                <w:rFonts w:ascii="宋体" w:hAnsi="宋体"/>
                <w:color w:val="auto"/>
                <w:sz w:val="24"/>
                <w:szCs w:val="20"/>
                <w:highlight w:val="none"/>
              </w:rPr>
            </w:pPr>
          </w:p>
        </w:tc>
        <w:tc>
          <w:tcPr>
            <w:tcW w:w="2050" w:type="dxa"/>
            <w:vAlign w:val="center"/>
          </w:tcPr>
          <w:p w14:paraId="6B7A201F">
            <w:pPr>
              <w:snapToGrid w:val="0"/>
              <w:spacing w:before="50" w:after="156" w:afterLines="50"/>
              <w:jc w:val="center"/>
              <w:rPr>
                <w:rFonts w:ascii="宋体" w:hAnsi="宋体"/>
                <w:color w:val="auto"/>
                <w:sz w:val="24"/>
                <w:szCs w:val="20"/>
                <w:highlight w:val="none"/>
              </w:rPr>
            </w:pPr>
          </w:p>
        </w:tc>
      </w:tr>
      <w:tr w14:paraId="7B782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78325C68">
            <w:pPr>
              <w:snapToGrid w:val="0"/>
              <w:spacing w:before="50" w:after="156" w:afterLines="50"/>
              <w:jc w:val="center"/>
              <w:rPr>
                <w:rFonts w:ascii="宋体" w:hAnsi="宋体"/>
                <w:color w:val="auto"/>
                <w:sz w:val="24"/>
                <w:szCs w:val="20"/>
                <w:highlight w:val="none"/>
              </w:rPr>
            </w:pPr>
          </w:p>
        </w:tc>
        <w:tc>
          <w:tcPr>
            <w:tcW w:w="1251" w:type="dxa"/>
            <w:vAlign w:val="center"/>
          </w:tcPr>
          <w:p w14:paraId="32A9FDC8">
            <w:pPr>
              <w:snapToGrid w:val="0"/>
              <w:spacing w:before="50" w:after="156" w:afterLines="50"/>
              <w:jc w:val="center"/>
              <w:rPr>
                <w:rFonts w:ascii="宋体" w:hAnsi="宋体"/>
                <w:color w:val="auto"/>
                <w:sz w:val="24"/>
                <w:szCs w:val="20"/>
                <w:highlight w:val="none"/>
              </w:rPr>
            </w:pPr>
          </w:p>
        </w:tc>
        <w:tc>
          <w:tcPr>
            <w:tcW w:w="2550" w:type="dxa"/>
            <w:vAlign w:val="center"/>
          </w:tcPr>
          <w:p w14:paraId="4A7B735D">
            <w:pPr>
              <w:snapToGrid w:val="0"/>
              <w:spacing w:before="50" w:after="156" w:afterLines="50"/>
              <w:jc w:val="center"/>
              <w:rPr>
                <w:rFonts w:ascii="宋体" w:hAnsi="宋体"/>
                <w:color w:val="auto"/>
                <w:sz w:val="24"/>
                <w:szCs w:val="20"/>
                <w:highlight w:val="none"/>
              </w:rPr>
            </w:pPr>
          </w:p>
        </w:tc>
        <w:tc>
          <w:tcPr>
            <w:tcW w:w="2100" w:type="dxa"/>
            <w:vAlign w:val="center"/>
          </w:tcPr>
          <w:p w14:paraId="215A2781">
            <w:pPr>
              <w:snapToGrid w:val="0"/>
              <w:spacing w:before="50" w:after="156" w:afterLines="50"/>
              <w:jc w:val="center"/>
              <w:rPr>
                <w:rFonts w:ascii="宋体" w:hAnsi="宋体"/>
                <w:color w:val="auto"/>
                <w:sz w:val="24"/>
                <w:szCs w:val="20"/>
                <w:highlight w:val="none"/>
              </w:rPr>
            </w:pPr>
          </w:p>
        </w:tc>
        <w:tc>
          <w:tcPr>
            <w:tcW w:w="2050" w:type="dxa"/>
            <w:vAlign w:val="center"/>
          </w:tcPr>
          <w:p w14:paraId="3A6670EB">
            <w:pPr>
              <w:snapToGrid w:val="0"/>
              <w:spacing w:before="50" w:after="156" w:afterLines="50"/>
              <w:jc w:val="center"/>
              <w:rPr>
                <w:rFonts w:ascii="宋体" w:hAnsi="宋体"/>
                <w:color w:val="auto"/>
                <w:sz w:val="24"/>
                <w:szCs w:val="20"/>
                <w:highlight w:val="none"/>
              </w:rPr>
            </w:pPr>
          </w:p>
        </w:tc>
      </w:tr>
      <w:tr w14:paraId="67834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047DF5E2">
            <w:pPr>
              <w:snapToGrid w:val="0"/>
              <w:spacing w:before="50" w:after="156" w:afterLines="50"/>
              <w:jc w:val="center"/>
              <w:rPr>
                <w:rFonts w:ascii="宋体" w:hAnsi="宋体"/>
                <w:color w:val="auto"/>
                <w:sz w:val="24"/>
                <w:szCs w:val="20"/>
                <w:highlight w:val="none"/>
              </w:rPr>
            </w:pPr>
          </w:p>
        </w:tc>
        <w:tc>
          <w:tcPr>
            <w:tcW w:w="1251" w:type="dxa"/>
            <w:vAlign w:val="center"/>
          </w:tcPr>
          <w:p w14:paraId="04DA874D">
            <w:pPr>
              <w:snapToGrid w:val="0"/>
              <w:spacing w:before="50" w:after="156" w:afterLines="50"/>
              <w:jc w:val="center"/>
              <w:rPr>
                <w:rFonts w:ascii="宋体" w:hAnsi="宋体"/>
                <w:color w:val="auto"/>
                <w:sz w:val="24"/>
                <w:szCs w:val="20"/>
                <w:highlight w:val="none"/>
              </w:rPr>
            </w:pPr>
          </w:p>
        </w:tc>
        <w:tc>
          <w:tcPr>
            <w:tcW w:w="2550" w:type="dxa"/>
            <w:vAlign w:val="center"/>
          </w:tcPr>
          <w:p w14:paraId="69283E6F">
            <w:pPr>
              <w:snapToGrid w:val="0"/>
              <w:spacing w:before="50" w:after="156" w:afterLines="50"/>
              <w:jc w:val="center"/>
              <w:rPr>
                <w:rFonts w:ascii="宋体" w:hAnsi="宋体"/>
                <w:color w:val="auto"/>
                <w:sz w:val="24"/>
                <w:szCs w:val="20"/>
                <w:highlight w:val="none"/>
              </w:rPr>
            </w:pPr>
          </w:p>
        </w:tc>
        <w:tc>
          <w:tcPr>
            <w:tcW w:w="2100" w:type="dxa"/>
            <w:vAlign w:val="center"/>
          </w:tcPr>
          <w:p w14:paraId="3829D64E">
            <w:pPr>
              <w:snapToGrid w:val="0"/>
              <w:spacing w:before="50" w:after="156" w:afterLines="50"/>
              <w:jc w:val="center"/>
              <w:rPr>
                <w:rFonts w:ascii="宋体" w:hAnsi="宋体"/>
                <w:color w:val="auto"/>
                <w:sz w:val="24"/>
                <w:szCs w:val="20"/>
                <w:highlight w:val="none"/>
              </w:rPr>
            </w:pPr>
          </w:p>
        </w:tc>
        <w:tc>
          <w:tcPr>
            <w:tcW w:w="2050" w:type="dxa"/>
            <w:vAlign w:val="center"/>
          </w:tcPr>
          <w:p w14:paraId="42926ECC">
            <w:pPr>
              <w:snapToGrid w:val="0"/>
              <w:spacing w:before="50" w:after="156" w:afterLines="50"/>
              <w:jc w:val="center"/>
              <w:rPr>
                <w:rFonts w:ascii="宋体" w:hAnsi="宋体"/>
                <w:color w:val="auto"/>
                <w:sz w:val="24"/>
                <w:szCs w:val="20"/>
                <w:highlight w:val="none"/>
              </w:rPr>
            </w:pPr>
          </w:p>
        </w:tc>
      </w:tr>
    </w:tbl>
    <w:p w14:paraId="58054DCE">
      <w:pPr>
        <w:keepNext w:val="0"/>
        <w:keepLines w:val="0"/>
        <w:pageBreakBefore w:val="0"/>
        <w:widowControl w:val="0"/>
        <w:kinsoku/>
        <w:wordWrap/>
        <w:overflowPunct/>
        <w:topLinePunct w:val="0"/>
        <w:autoSpaceDE/>
        <w:autoSpaceDN/>
        <w:bidi w:val="0"/>
        <w:adjustRightInd/>
        <w:snapToGrid w:val="0"/>
        <w:spacing w:before="50" w:after="156" w:afterLines="50"/>
        <w:ind w:firstLine="480" w:firstLineChars="200"/>
        <w:jc w:val="left"/>
        <w:textAlignment w:val="auto"/>
        <w:rPr>
          <w:rFonts w:ascii="宋体" w:hAnsi="宋体"/>
          <w:color w:val="auto"/>
          <w:sz w:val="24"/>
          <w:szCs w:val="20"/>
          <w:highlight w:val="none"/>
        </w:rPr>
      </w:pPr>
      <w:r>
        <w:rPr>
          <w:rFonts w:hint="eastAsia" w:ascii="宋体" w:hAnsi="宋体"/>
          <w:color w:val="auto"/>
          <w:sz w:val="24"/>
          <w:szCs w:val="20"/>
          <w:highlight w:val="none"/>
        </w:rPr>
        <w:t>注：在填写时，如本表格不适合供应商的实际情况，可根据本表格式自行制表填写</w:t>
      </w:r>
      <w:r>
        <w:rPr>
          <w:rFonts w:hint="eastAsia" w:ascii="宋体" w:hAnsi="宋体"/>
          <w:color w:val="auto"/>
          <w:sz w:val="24"/>
          <w:szCs w:val="20"/>
          <w:highlight w:val="none"/>
          <w:lang w:eastAsia="zh-CN"/>
        </w:rPr>
        <w:t>（</w:t>
      </w:r>
      <w:r>
        <w:rPr>
          <w:rFonts w:hint="eastAsia" w:ascii="宋体" w:hAnsi="宋体"/>
          <w:color w:val="auto"/>
          <w:sz w:val="24"/>
          <w:highlight w:val="none"/>
        </w:rPr>
        <w:t>法定代表人或者委托代理人</w:t>
      </w:r>
      <w:r>
        <w:rPr>
          <w:rFonts w:hint="eastAsia" w:ascii="宋体" w:hAnsi="宋体"/>
          <w:color w:val="auto"/>
          <w:spacing w:val="20"/>
          <w:sz w:val="24"/>
          <w:highlight w:val="none"/>
        </w:rPr>
        <w:t>签字</w:t>
      </w:r>
      <w:r>
        <w:rPr>
          <w:rFonts w:hint="eastAsia" w:ascii="宋体" w:hAnsi="宋体"/>
          <w:color w:val="auto"/>
          <w:spacing w:val="20"/>
          <w:sz w:val="24"/>
          <w:highlight w:val="none"/>
          <w:lang w:eastAsia="zh-CN"/>
        </w:rPr>
        <w:t>、</w:t>
      </w:r>
      <w:r>
        <w:rPr>
          <w:rFonts w:hint="eastAsia" w:ascii="宋体" w:hAnsi="宋体"/>
          <w:color w:val="auto"/>
          <w:spacing w:val="20"/>
          <w:sz w:val="24"/>
          <w:highlight w:val="none"/>
        </w:rPr>
        <w:t>供应商</w:t>
      </w:r>
      <w:r>
        <w:rPr>
          <w:rFonts w:hint="eastAsia" w:ascii="宋体" w:hAnsi="宋体"/>
          <w:color w:val="auto"/>
          <w:spacing w:val="20"/>
          <w:sz w:val="24"/>
          <w:highlight w:val="none"/>
          <w:lang w:eastAsia="zh-CN"/>
        </w:rPr>
        <w:t>盖章、日期等落款内容必须保留</w:t>
      </w:r>
      <w:r>
        <w:rPr>
          <w:rFonts w:hint="eastAsia" w:ascii="宋体" w:hAnsi="宋体"/>
          <w:color w:val="auto"/>
          <w:sz w:val="24"/>
          <w:szCs w:val="20"/>
          <w:highlight w:val="none"/>
          <w:lang w:eastAsia="zh-CN"/>
        </w:rPr>
        <w:t>）</w:t>
      </w:r>
      <w:r>
        <w:rPr>
          <w:rFonts w:hint="eastAsia" w:ascii="宋体" w:hAnsi="宋体"/>
          <w:color w:val="auto"/>
          <w:sz w:val="24"/>
          <w:szCs w:val="20"/>
          <w:highlight w:val="none"/>
        </w:rPr>
        <w:t>。</w:t>
      </w:r>
    </w:p>
    <w:p w14:paraId="2AF54E08">
      <w:pPr>
        <w:snapToGrid w:val="0"/>
        <w:spacing w:before="50" w:after="50"/>
        <w:rPr>
          <w:rFonts w:hint="eastAsia" w:ascii="宋体" w:hAnsi="宋体"/>
          <w:color w:val="auto"/>
          <w:sz w:val="24"/>
          <w:highlight w:val="none"/>
        </w:rPr>
      </w:pPr>
    </w:p>
    <w:p w14:paraId="7BBBC69D">
      <w:pPr>
        <w:keepNext w:val="0"/>
        <w:keepLines w:val="0"/>
        <w:pageBreakBefore w:val="0"/>
        <w:widowControl w:val="0"/>
        <w:kinsoku/>
        <w:wordWrap/>
        <w:overflowPunct/>
        <w:topLinePunct w:val="0"/>
        <w:autoSpaceDE/>
        <w:autoSpaceDN/>
        <w:bidi w:val="0"/>
        <w:adjustRightInd/>
        <w:snapToGrid w:val="0"/>
        <w:spacing w:before="50" w:after="50"/>
        <w:ind w:firstLine="480" w:firstLineChars="200"/>
        <w:textAlignment w:val="auto"/>
        <w:rPr>
          <w:rFonts w:ascii="宋体" w:hAnsi="宋体"/>
          <w:color w:val="auto"/>
          <w:spacing w:val="20"/>
          <w:sz w:val="24"/>
          <w:szCs w:val="20"/>
          <w:highlight w:val="none"/>
          <w:u w:val="single"/>
        </w:rPr>
      </w:pPr>
      <w:r>
        <w:rPr>
          <w:rFonts w:hint="eastAsia" w:ascii="宋体" w:hAnsi="宋体"/>
          <w:color w:val="auto"/>
          <w:sz w:val="24"/>
          <w:highlight w:val="none"/>
        </w:rPr>
        <w:t>法定代表人或者委托代理人</w:t>
      </w:r>
      <w:r>
        <w:rPr>
          <w:rFonts w:hint="eastAsia" w:ascii="宋体" w:hAnsi="宋体"/>
          <w:color w:val="auto"/>
          <w:spacing w:val="20"/>
          <w:sz w:val="24"/>
          <w:highlight w:val="none"/>
        </w:rPr>
        <w:t>签字：</w:t>
      </w:r>
      <w:r>
        <w:rPr>
          <w:rFonts w:hint="eastAsia" w:ascii="宋体" w:hAnsi="宋体"/>
          <w:color w:val="auto"/>
          <w:spacing w:val="20"/>
          <w:sz w:val="24"/>
          <w:highlight w:val="none"/>
          <w:u w:val="single"/>
        </w:rPr>
        <w:t xml:space="preserve">        </w:t>
      </w:r>
    </w:p>
    <w:p w14:paraId="20E1F62D">
      <w:pPr>
        <w:keepNext w:val="0"/>
        <w:keepLines w:val="0"/>
        <w:pageBreakBefore w:val="0"/>
        <w:widowControl w:val="0"/>
        <w:kinsoku/>
        <w:wordWrap/>
        <w:overflowPunct/>
        <w:topLinePunct w:val="0"/>
        <w:autoSpaceDE/>
        <w:autoSpaceDN/>
        <w:bidi w:val="0"/>
        <w:adjustRightInd/>
        <w:snapToGrid w:val="0"/>
        <w:spacing w:before="50" w:after="156" w:afterLines="50"/>
        <w:ind w:firstLine="560" w:firstLineChars="200"/>
        <w:jc w:val="left"/>
        <w:textAlignment w:val="auto"/>
        <w:rPr>
          <w:rFonts w:hint="eastAsia" w:ascii="宋体" w:hAnsi="宋体"/>
          <w:color w:val="auto"/>
          <w:spacing w:val="20"/>
          <w:sz w:val="24"/>
          <w:highlight w:val="none"/>
        </w:rPr>
      </w:pPr>
      <w:r>
        <w:rPr>
          <w:rFonts w:hint="eastAsia" w:ascii="宋体" w:hAnsi="宋体"/>
          <w:color w:val="auto"/>
          <w:spacing w:val="20"/>
          <w:sz w:val="24"/>
          <w:highlight w:val="none"/>
        </w:rPr>
        <w:t>供应商（盖公章）：</w:t>
      </w:r>
      <w:r>
        <w:rPr>
          <w:rFonts w:hint="eastAsia" w:ascii="宋体" w:hAnsi="宋体"/>
          <w:color w:val="auto"/>
          <w:spacing w:val="20"/>
          <w:sz w:val="24"/>
          <w:highlight w:val="none"/>
          <w:u w:val="single"/>
        </w:rPr>
        <w:t xml:space="preserve">            </w:t>
      </w:r>
      <w:r>
        <w:rPr>
          <w:rFonts w:hint="eastAsia" w:ascii="宋体" w:hAnsi="宋体"/>
          <w:color w:val="auto"/>
          <w:spacing w:val="20"/>
          <w:sz w:val="24"/>
          <w:highlight w:val="none"/>
        </w:rPr>
        <w:t xml:space="preserve">              </w:t>
      </w:r>
    </w:p>
    <w:p w14:paraId="18E67F32">
      <w:pPr>
        <w:keepNext w:val="0"/>
        <w:keepLines w:val="0"/>
        <w:pageBreakBefore w:val="0"/>
        <w:widowControl w:val="0"/>
        <w:kinsoku/>
        <w:wordWrap/>
        <w:overflowPunct/>
        <w:topLinePunct w:val="0"/>
        <w:autoSpaceDE/>
        <w:autoSpaceDN/>
        <w:bidi w:val="0"/>
        <w:adjustRightInd/>
        <w:snapToGrid w:val="0"/>
        <w:spacing w:before="50" w:after="156" w:afterLines="50"/>
        <w:ind w:firstLine="560" w:firstLineChars="200"/>
        <w:jc w:val="left"/>
        <w:textAlignment w:val="auto"/>
        <w:rPr>
          <w:rFonts w:ascii="宋体" w:hAnsi="宋体"/>
          <w:color w:val="auto"/>
          <w:sz w:val="24"/>
          <w:szCs w:val="20"/>
          <w:highlight w:val="none"/>
        </w:rPr>
      </w:pPr>
      <w:r>
        <w:rPr>
          <w:rFonts w:hint="eastAsia" w:ascii="宋体" w:hAnsi="宋体"/>
          <w:color w:val="auto"/>
          <w:spacing w:val="20"/>
          <w:sz w:val="24"/>
          <w:highlight w:val="none"/>
        </w:rPr>
        <w:t>日 期：</w:t>
      </w:r>
      <w:r>
        <w:rPr>
          <w:rFonts w:hint="eastAsia" w:ascii="宋体" w:hAnsi="宋体"/>
          <w:color w:val="auto"/>
          <w:spacing w:val="20"/>
          <w:sz w:val="24"/>
          <w:highlight w:val="none"/>
          <w:u w:val="single"/>
        </w:rPr>
        <w:t xml:space="preserve">         </w:t>
      </w:r>
    </w:p>
    <w:p w14:paraId="28FF431C">
      <w:pPr>
        <w:snapToGrid w:val="0"/>
        <w:spacing w:before="50" w:after="156" w:afterLines="50"/>
        <w:jc w:val="left"/>
        <w:rPr>
          <w:rFonts w:ascii="宋体" w:hAnsi="宋体"/>
          <w:color w:val="auto"/>
          <w:sz w:val="24"/>
          <w:szCs w:val="20"/>
          <w:highlight w:val="none"/>
        </w:rPr>
      </w:pPr>
    </w:p>
    <w:p w14:paraId="3FB16D40">
      <w:pPr>
        <w:snapToGrid w:val="0"/>
        <w:spacing w:before="50" w:after="50" w:line="360" w:lineRule="auto"/>
        <w:ind w:right="-817" w:rightChars="-389" w:firstLine="5461" w:firstLineChars="1700"/>
        <w:rPr>
          <w:rFonts w:ascii="仿宋_GB2312" w:hAnsi="仿宋_GB2312" w:eastAsia="仿宋_GB2312" w:cs="仿宋_GB2312"/>
          <w:b/>
          <w:color w:val="auto"/>
          <w:sz w:val="32"/>
          <w:szCs w:val="32"/>
          <w:highlight w:val="none"/>
        </w:rPr>
      </w:pPr>
      <w:r>
        <w:rPr>
          <w:rFonts w:ascii="仿宋_GB2312" w:hAnsi="仿宋_GB2312" w:eastAsia="仿宋_GB2312" w:cs="仿宋_GB2312"/>
          <w:b/>
          <w:color w:val="auto"/>
          <w:sz w:val="32"/>
          <w:szCs w:val="32"/>
          <w:highlight w:val="none"/>
        </w:rPr>
        <w:br w:type="page"/>
      </w:r>
    </w:p>
    <w:p w14:paraId="392C679F">
      <w:pPr>
        <w:snapToGrid w:val="0"/>
        <w:spacing w:before="156" w:beforeLines="50" w:after="50"/>
        <w:jc w:val="center"/>
        <w:rPr>
          <w:rFonts w:ascii="宋体" w:hAnsi="宋体" w:cs="宋体"/>
          <w:b/>
          <w:bCs w:val="0"/>
          <w:color w:val="auto"/>
          <w:sz w:val="24"/>
          <w:highlight w:val="none"/>
        </w:rPr>
      </w:pPr>
      <w:r>
        <w:rPr>
          <w:rFonts w:hint="eastAsia" w:ascii="宋体" w:hAnsi="宋体" w:cs="宋体"/>
          <w:b/>
          <w:bCs w:val="0"/>
          <w:color w:val="auto"/>
          <w:sz w:val="44"/>
          <w:szCs w:val="44"/>
          <w:highlight w:val="none"/>
        </w:rPr>
        <w:t>业绩证明文件</w:t>
      </w:r>
    </w:p>
    <w:p w14:paraId="00138F5F">
      <w:pPr>
        <w:snapToGrid w:val="0"/>
        <w:ind w:left="480" w:hanging="480" w:hangingChars="200"/>
        <w:rPr>
          <w:rFonts w:ascii="宋体" w:hAnsi="宋体" w:cs="宋体"/>
          <w:color w:val="auto"/>
          <w:sz w:val="24"/>
          <w:highlight w:val="none"/>
        </w:rPr>
      </w:pPr>
    </w:p>
    <w:p w14:paraId="70BAC0A7">
      <w:pPr>
        <w:keepNext w:val="0"/>
        <w:keepLines w:val="0"/>
        <w:pageBreakBefore w:val="0"/>
        <w:widowControl w:val="0"/>
        <w:kinsoku/>
        <w:wordWrap/>
        <w:overflowPunct/>
        <w:topLinePunct w:val="0"/>
        <w:autoSpaceDE/>
        <w:autoSpaceDN/>
        <w:bidi w:val="0"/>
        <w:adjustRightInd/>
        <w:snapToGrid w:val="0"/>
        <w:ind w:left="0" w:firstLine="480" w:firstLineChars="200"/>
        <w:textAlignment w:val="auto"/>
        <w:rPr>
          <w:rFonts w:ascii="宋体" w:hAnsi="宋体" w:cs="宋体"/>
          <w:bCs/>
          <w:color w:val="auto"/>
          <w:szCs w:val="21"/>
          <w:highlight w:val="none"/>
        </w:rPr>
      </w:pPr>
      <w:r>
        <w:rPr>
          <w:rFonts w:hint="eastAsia" w:ascii="宋体" w:hAnsi="宋体" w:cs="宋体"/>
          <w:color w:val="auto"/>
          <w:sz w:val="24"/>
          <w:highlight w:val="none"/>
        </w:rPr>
        <w:t>同类项目业绩情况一览表格式</w:t>
      </w:r>
      <w:r>
        <w:rPr>
          <w:rFonts w:hint="eastAsia" w:ascii="宋体" w:hAnsi="宋体" w:cs="宋体"/>
          <w:color w:val="auto"/>
          <w:sz w:val="24"/>
          <w:highlight w:val="none"/>
          <w:lang w:eastAsia="zh-CN"/>
        </w:rPr>
        <w:t>【</w:t>
      </w:r>
      <w:r>
        <w:rPr>
          <w:rFonts w:hint="eastAsia" w:ascii="宋体" w:hAnsi="宋体" w:eastAsia="宋体" w:cs="宋体"/>
          <w:bCs/>
          <w:color w:val="auto"/>
          <w:sz w:val="24"/>
          <w:highlight w:val="none"/>
        </w:rPr>
        <w:t>附合同</w:t>
      </w:r>
      <w:r>
        <w:rPr>
          <w:rFonts w:hint="eastAsia" w:ascii="宋体" w:hAnsi="宋体" w:eastAsia="宋体" w:cs="宋体"/>
          <w:color w:val="auto"/>
          <w:sz w:val="24"/>
          <w:highlight w:val="none"/>
        </w:rPr>
        <w:t>（含合同标的页、双方签字盖章页）</w:t>
      </w:r>
      <w:r>
        <w:rPr>
          <w:rFonts w:hint="eastAsia" w:ascii="宋体" w:hAnsi="宋体" w:eastAsia="宋体" w:cs="宋体"/>
          <w:bCs/>
          <w:color w:val="auto"/>
          <w:sz w:val="24"/>
          <w:highlight w:val="none"/>
        </w:rPr>
        <w:t>或者中标（成交）通知书复印件，并加盖</w:t>
      </w:r>
      <w:r>
        <w:rPr>
          <w:rFonts w:hint="eastAsia" w:ascii="宋体" w:hAnsi="宋体" w:eastAsia="宋体" w:cs="宋体"/>
          <w:color w:val="auto"/>
          <w:sz w:val="24"/>
          <w:highlight w:val="none"/>
        </w:rPr>
        <w:t>供应商</w:t>
      </w:r>
      <w:r>
        <w:rPr>
          <w:rFonts w:hint="eastAsia" w:ascii="宋体" w:hAnsi="宋体" w:eastAsia="宋体" w:cs="宋体"/>
          <w:bCs/>
          <w:color w:val="auto"/>
          <w:sz w:val="24"/>
          <w:highlight w:val="none"/>
        </w:rPr>
        <w:t>公章</w:t>
      </w:r>
      <w:r>
        <w:rPr>
          <w:rFonts w:hint="eastAsia" w:ascii="宋体" w:hAnsi="宋体" w:cs="宋体"/>
          <w:color w:val="auto"/>
          <w:sz w:val="24"/>
          <w:highlight w:val="none"/>
          <w:lang w:eastAsia="zh-CN"/>
        </w:rPr>
        <w:t>】</w:t>
      </w:r>
      <w:r>
        <w:rPr>
          <w:rFonts w:hint="eastAsia" w:ascii="宋体" w:hAnsi="宋体" w:cs="宋体"/>
          <w:color w:val="auto"/>
          <w:sz w:val="24"/>
          <w:highlight w:val="none"/>
        </w:rPr>
        <w:t>：</w:t>
      </w:r>
    </w:p>
    <w:p w14:paraId="4BFF273A">
      <w:pPr>
        <w:snapToGrid w:val="0"/>
        <w:ind w:left="420" w:hanging="420" w:hangingChars="200"/>
        <w:rPr>
          <w:rFonts w:ascii="宋体" w:hAnsi="宋体" w:cs="宋体"/>
          <w:bCs/>
          <w:color w:val="auto"/>
          <w:szCs w:val="21"/>
          <w:highlight w:val="none"/>
        </w:rPr>
      </w:pPr>
    </w:p>
    <w:tbl>
      <w:tblPr>
        <w:tblStyle w:val="31"/>
        <w:tblW w:w="856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821"/>
        <w:gridCol w:w="2367"/>
        <w:gridCol w:w="2437"/>
        <w:gridCol w:w="1935"/>
      </w:tblGrid>
      <w:tr w14:paraId="2622936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526" w:hRule="atLeast"/>
          <w:jc w:val="center"/>
        </w:trPr>
        <w:tc>
          <w:tcPr>
            <w:tcW w:w="1821" w:type="dxa"/>
            <w:vMerge w:val="restart"/>
            <w:tcBorders>
              <w:top w:val="single" w:color="auto" w:sz="4" w:space="0"/>
              <w:left w:val="single" w:color="auto" w:sz="4" w:space="0"/>
              <w:bottom w:val="single" w:color="auto" w:sz="4" w:space="0"/>
              <w:right w:val="single" w:color="auto" w:sz="4" w:space="0"/>
            </w:tcBorders>
            <w:vAlign w:val="center"/>
          </w:tcPr>
          <w:p w14:paraId="26DB5B6C">
            <w:pPr>
              <w:snapToGrid w:val="0"/>
              <w:spacing w:line="240" w:lineRule="exact"/>
              <w:jc w:val="center"/>
              <w:rPr>
                <w:rFonts w:ascii="宋体" w:hAnsi="宋体" w:cs="宋体"/>
                <w:color w:val="auto"/>
                <w:sz w:val="24"/>
                <w:highlight w:val="none"/>
              </w:rPr>
            </w:pPr>
            <w:r>
              <w:rPr>
                <w:rFonts w:hint="eastAsia" w:ascii="宋体" w:hAnsi="宋体" w:cs="宋体"/>
                <w:color w:val="auto"/>
                <w:sz w:val="24"/>
                <w:highlight w:val="none"/>
              </w:rPr>
              <w:t>采购人名称</w:t>
            </w:r>
          </w:p>
        </w:tc>
        <w:tc>
          <w:tcPr>
            <w:tcW w:w="2367" w:type="dxa"/>
            <w:vMerge w:val="restart"/>
            <w:tcBorders>
              <w:top w:val="single" w:color="auto" w:sz="4" w:space="0"/>
              <w:left w:val="single" w:color="auto" w:sz="4" w:space="0"/>
              <w:bottom w:val="single" w:color="auto" w:sz="4" w:space="0"/>
              <w:right w:val="single" w:color="auto" w:sz="4" w:space="0"/>
            </w:tcBorders>
            <w:vAlign w:val="center"/>
          </w:tcPr>
          <w:p w14:paraId="2D2939E2">
            <w:pPr>
              <w:snapToGrid w:val="0"/>
              <w:spacing w:line="240" w:lineRule="exact"/>
              <w:jc w:val="center"/>
              <w:rPr>
                <w:rFonts w:ascii="宋体" w:hAnsi="宋体" w:cs="宋体"/>
                <w:color w:val="auto"/>
                <w:sz w:val="24"/>
                <w:highlight w:val="none"/>
              </w:rPr>
            </w:pPr>
            <w:r>
              <w:rPr>
                <w:rFonts w:hint="eastAsia" w:ascii="宋体" w:hAnsi="宋体" w:cs="宋体"/>
                <w:color w:val="auto"/>
                <w:sz w:val="24"/>
                <w:highlight w:val="none"/>
              </w:rPr>
              <w:t>项目名称</w:t>
            </w:r>
          </w:p>
        </w:tc>
        <w:tc>
          <w:tcPr>
            <w:tcW w:w="2437" w:type="dxa"/>
            <w:vMerge w:val="restart"/>
            <w:tcBorders>
              <w:top w:val="single" w:color="auto" w:sz="4" w:space="0"/>
              <w:left w:val="single" w:color="auto" w:sz="4" w:space="0"/>
              <w:bottom w:val="single" w:color="auto" w:sz="4" w:space="0"/>
              <w:right w:val="single" w:color="auto" w:sz="4" w:space="0"/>
            </w:tcBorders>
            <w:vAlign w:val="center"/>
          </w:tcPr>
          <w:p w14:paraId="40DD3607">
            <w:pPr>
              <w:snapToGrid w:val="0"/>
              <w:spacing w:line="240" w:lineRule="exact"/>
              <w:jc w:val="center"/>
              <w:rPr>
                <w:rFonts w:hint="default" w:ascii="宋体" w:hAnsi="宋体" w:eastAsia="宋体" w:cs="宋体"/>
                <w:color w:val="auto"/>
                <w:sz w:val="24"/>
                <w:highlight w:val="none"/>
                <w:lang w:val="en-US" w:eastAsia="zh-CN"/>
              </w:rPr>
            </w:pPr>
            <w:r>
              <w:rPr>
                <w:rFonts w:hint="eastAsia" w:ascii="宋体" w:hAnsi="宋体" w:cs="宋体"/>
                <w:color w:val="auto"/>
                <w:sz w:val="24"/>
                <w:highlight w:val="none"/>
                <w:lang w:val="en-US" w:eastAsia="zh-CN"/>
              </w:rPr>
              <w:t>合同类型</w:t>
            </w:r>
          </w:p>
        </w:tc>
        <w:tc>
          <w:tcPr>
            <w:tcW w:w="1935" w:type="dxa"/>
            <w:vMerge w:val="restart"/>
            <w:tcBorders>
              <w:top w:val="single" w:color="auto" w:sz="4" w:space="0"/>
              <w:left w:val="single" w:color="auto" w:sz="4" w:space="0"/>
              <w:bottom w:val="single" w:color="auto" w:sz="4" w:space="0"/>
              <w:right w:val="single" w:color="auto" w:sz="4" w:space="0"/>
            </w:tcBorders>
            <w:vAlign w:val="center"/>
          </w:tcPr>
          <w:p w14:paraId="67719B96">
            <w:pPr>
              <w:snapToGrid w:val="0"/>
              <w:spacing w:line="240" w:lineRule="exact"/>
              <w:jc w:val="center"/>
              <w:rPr>
                <w:rFonts w:ascii="宋体" w:hAnsi="宋体" w:cs="宋体"/>
                <w:color w:val="auto"/>
                <w:sz w:val="24"/>
                <w:highlight w:val="none"/>
              </w:rPr>
            </w:pPr>
            <w:r>
              <w:rPr>
                <w:rFonts w:hint="eastAsia" w:ascii="宋体" w:hAnsi="宋体" w:cs="宋体"/>
                <w:color w:val="auto"/>
                <w:sz w:val="24"/>
                <w:highlight w:val="none"/>
              </w:rPr>
              <w:t>采购人联系人及</w:t>
            </w:r>
          </w:p>
          <w:p w14:paraId="1A22D8BD">
            <w:pPr>
              <w:snapToGrid w:val="0"/>
              <w:spacing w:line="240" w:lineRule="exact"/>
              <w:jc w:val="center"/>
              <w:rPr>
                <w:rFonts w:ascii="宋体" w:hAnsi="宋体" w:cs="宋体"/>
                <w:color w:val="auto"/>
                <w:sz w:val="24"/>
                <w:highlight w:val="none"/>
              </w:rPr>
            </w:pPr>
            <w:r>
              <w:rPr>
                <w:rFonts w:hint="eastAsia" w:ascii="宋体" w:hAnsi="宋体" w:cs="宋体"/>
                <w:color w:val="auto"/>
                <w:sz w:val="24"/>
                <w:highlight w:val="none"/>
              </w:rPr>
              <w:t>联系电话</w:t>
            </w:r>
          </w:p>
        </w:tc>
      </w:tr>
      <w:tr w14:paraId="18F4957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888" w:hRule="atLeast"/>
          <w:jc w:val="center"/>
        </w:trPr>
        <w:tc>
          <w:tcPr>
            <w:tcW w:w="1821" w:type="dxa"/>
            <w:vMerge w:val="continue"/>
            <w:tcBorders>
              <w:top w:val="single" w:color="auto" w:sz="4" w:space="0"/>
              <w:left w:val="single" w:color="auto" w:sz="4" w:space="0"/>
              <w:bottom w:val="single" w:color="auto" w:sz="4" w:space="0"/>
              <w:right w:val="single" w:color="auto" w:sz="4" w:space="0"/>
            </w:tcBorders>
            <w:vAlign w:val="center"/>
          </w:tcPr>
          <w:p w14:paraId="43358213">
            <w:pPr>
              <w:jc w:val="left"/>
              <w:rPr>
                <w:rFonts w:ascii="宋体" w:hAnsi="宋体" w:cs="宋体"/>
                <w:color w:val="auto"/>
                <w:sz w:val="24"/>
                <w:highlight w:val="none"/>
              </w:rPr>
            </w:pPr>
          </w:p>
        </w:tc>
        <w:tc>
          <w:tcPr>
            <w:tcW w:w="2367" w:type="dxa"/>
            <w:vMerge w:val="continue"/>
            <w:tcBorders>
              <w:top w:val="single" w:color="auto" w:sz="4" w:space="0"/>
              <w:left w:val="single" w:color="auto" w:sz="4" w:space="0"/>
              <w:bottom w:val="single" w:color="auto" w:sz="4" w:space="0"/>
              <w:right w:val="single" w:color="auto" w:sz="4" w:space="0"/>
            </w:tcBorders>
            <w:vAlign w:val="center"/>
          </w:tcPr>
          <w:p w14:paraId="3A84FD8B">
            <w:pPr>
              <w:jc w:val="left"/>
              <w:rPr>
                <w:rFonts w:ascii="宋体" w:hAnsi="宋体" w:cs="宋体"/>
                <w:color w:val="auto"/>
                <w:sz w:val="24"/>
                <w:highlight w:val="none"/>
              </w:rPr>
            </w:pPr>
          </w:p>
        </w:tc>
        <w:tc>
          <w:tcPr>
            <w:tcW w:w="2437" w:type="dxa"/>
            <w:vMerge w:val="continue"/>
            <w:tcBorders>
              <w:top w:val="single" w:color="auto" w:sz="4" w:space="0"/>
              <w:left w:val="single" w:color="auto" w:sz="4" w:space="0"/>
              <w:bottom w:val="single" w:color="auto" w:sz="4" w:space="0"/>
              <w:right w:val="single" w:color="auto" w:sz="4" w:space="0"/>
            </w:tcBorders>
            <w:vAlign w:val="center"/>
          </w:tcPr>
          <w:p w14:paraId="67FB329D">
            <w:pPr>
              <w:jc w:val="left"/>
              <w:rPr>
                <w:rFonts w:ascii="宋体" w:hAnsi="宋体" w:cs="宋体"/>
                <w:color w:val="auto"/>
                <w:sz w:val="24"/>
                <w:highlight w:val="none"/>
              </w:rPr>
            </w:pPr>
          </w:p>
        </w:tc>
        <w:tc>
          <w:tcPr>
            <w:tcW w:w="1935" w:type="dxa"/>
            <w:vMerge w:val="continue"/>
            <w:tcBorders>
              <w:top w:val="single" w:color="auto" w:sz="4" w:space="0"/>
              <w:left w:val="single" w:color="auto" w:sz="4" w:space="0"/>
              <w:bottom w:val="single" w:color="auto" w:sz="4" w:space="0"/>
              <w:right w:val="single" w:color="auto" w:sz="4" w:space="0"/>
            </w:tcBorders>
            <w:vAlign w:val="center"/>
          </w:tcPr>
          <w:p w14:paraId="11DFD25A">
            <w:pPr>
              <w:jc w:val="left"/>
              <w:rPr>
                <w:rFonts w:ascii="宋体" w:hAnsi="宋体" w:cs="宋体"/>
                <w:color w:val="auto"/>
                <w:sz w:val="24"/>
                <w:highlight w:val="none"/>
              </w:rPr>
            </w:pPr>
          </w:p>
        </w:tc>
      </w:tr>
      <w:tr w14:paraId="6BB8734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94" w:hRule="atLeast"/>
          <w:jc w:val="center"/>
        </w:trPr>
        <w:tc>
          <w:tcPr>
            <w:tcW w:w="1821" w:type="dxa"/>
            <w:tcBorders>
              <w:top w:val="single" w:color="auto" w:sz="4" w:space="0"/>
              <w:left w:val="single" w:color="auto" w:sz="4" w:space="0"/>
              <w:bottom w:val="single" w:color="auto" w:sz="4" w:space="0"/>
              <w:right w:val="single" w:color="auto" w:sz="4" w:space="0"/>
            </w:tcBorders>
          </w:tcPr>
          <w:p w14:paraId="4299AD36">
            <w:pPr>
              <w:snapToGrid w:val="0"/>
              <w:spacing w:line="240" w:lineRule="exact"/>
              <w:jc w:val="left"/>
              <w:rPr>
                <w:rFonts w:ascii="宋体" w:hAnsi="宋体" w:cs="宋体"/>
                <w:color w:val="auto"/>
                <w:sz w:val="24"/>
                <w:highlight w:val="none"/>
              </w:rPr>
            </w:pPr>
          </w:p>
        </w:tc>
        <w:tc>
          <w:tcPr>
            <w:tcW w:w="2367" w:type="dxa"/>
            <w:tcBorders>
              <w:top w:val="single" w:color="auto" w:sz="4" w:space="0"/>
              <w:left w:val="single" w:color="auto" w:sz="4" w:space="0"/>
              <w:bottom w:val="single" w:color="auto" w:sz="4" w:space="0"/>
              <w:right w:val="single" w:color="auto" w:sz="4" w:space="0"/>
            </w:tcBorders>
          </w:tcPr>
          <w:p w14:paraId="3C64BF55">
            <w:pPr>
              <w:snapToGrid w:val="0"/>
              <w:spacing w:line="240" w:lineRule="exact"/>
              <w:jc w:val="left"/>
              <w:rPr>
                <w:rFonts w:ascii="宋体" w:hAnsi="宋体" w:cs="宋体"/>
                <w:color w:val="auto"/>
                <w:sz w:val="24"/>
                <w:highlight w:val="none"/>
              </w:rPr>
            </w:pPr>
          </w:p>
        </w:tc>
        <w:tc>
          <w:tcPr>
            <w:tcW w:w="2437" w:type="dxa"/>
            <w:tcBorders>
              <w:top w:val="single" w:color="auto" w:sz="4" w:space="0"/>
              <w:left w:val="single" w:color="auto" w:sz="4" w:space="0"/>
              <w:bottom w:val="single" w:color="auto" w:sz="4" w:space="0"/>
              <w:right w:val="single" w:color="auto" w:sz="4" w:space="0"/>
            </w:tcBorders>
          </w:tcPr>
          <w:p w14:paraId="64C57AD3">
            <w:pPr>
              <w:snapToGrid w:val="0"/>
              <w:spacing w:line="240" w:lineRule="exact"/>
              <w:jc w:val="left"/>
              <w:rPr>
                <w:rFonts w:ascii="宋体" w:hAnsi="宋体" w:cs="宋体"/>
                <w:color w:val="auto"/>
                <w:sz w:val="24"/>
                <w:highlight w:val="none"/>
              </w:rPr>
            </w:pPr>
          </w:p>
        </w:tc>
        <w:tc>
          <w:tcPr>
            <w:tcW w:w="1935" w:type="dxa"/>
            <w:tcBorders>
              <w:top w:val="single" w:color="auto" w:sz="4" w:space="0"/>
              <w:left w:val="single" w:color="auto" w:sz="4" w:space="0"/>
              <w:bottom w:val="single" w:color="auto" w:sz="4" w:space="0"/>
              <w:right w:val="single" w:color="auto" w:sz="4" w:space="0"/>
            </w:tcBorders>
          </w:tcPr>
          <w:p w14:paraId="0C9B56C5">
            <w:pPr>
              <w:snapToGrid w:val="0"/>
              <w:spacing w:line="240" w:lineRule="exact"/>
              <w:jc w:val="left"/>
              <w:rPr>
                <w:rFonts w:ascii="宋体" w:hAnsi="宋体" w:cs="宋体"/>
                <w:color w:val="auto"/>
                <w:sz w:val="24"/>
                <w:highlight w:val="none"/>
              </w:rPr>
            </w:pPr>
          </w:p>
        </w:tc>
      </w:tr>
      <w:tr w14:paraId="33EEFE4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2" w:hRule="atLeast"/>
          <w:jc w:val="center"/>
        </w:trPr>
        <w:tc>
          <w:tcPr>
            <w:tcW w:w="1821" w:type="dxa"/>
            <w:tcBorders>
              <w:top w:val="single" w:color="auto" w:sz="4" w:space="0"/>
              <w:left w:val="single" w:color="auto" w:sz="4" w:space="0"/>
              <w:bottom w:val="single" w:color="auto" w:sz="4" w:space="0"/>
              <w:right w:val="single" w:color="auto" w:sz="4" w:space="0"/>
            </w:tcBorders>
          </w:tcPr>
          <w:p w14:paraId="0FC7B7E4">
            <w:pPr>
              <w:snapToGrid w:val="0"/>
              <w:spacing w:before="50" w:after="156" w:afterLines="50" w:line="400" w:lineRule="exact"/>
              <w:jc w:val="left"/>
              <w:rPr>
                <w:rFonts w:ascii="宋体" w:hAnsi="宋体" w:cs="宋体"/>
                <w:color w:val="auto"/>
                <w:sz w:val="24"/>
                <w:highlight w:val="none"/>
              </w:rPr>
            </w:pPr>
          </w:p>
        </w:tc>
        <w:tc>
          <w:tcPr>
            <w:tcW w:w="2367" w:type="dxa"/>
            <w:tcBorders>
              <w:top w:val="single" w:color="auto" w:sz="4" w:space="0"/>
              <w:left w:val="single" w:color="auto" w:sz="4" w:space="0"/>
              <w:bottom w:val="single" w:color="auto" w:sz="4" w:space="0"/>
              <w:right w:val="single" w:color="auto" w:sz="4" w:space="0"/>
            </w:tcBorders>
          </w:tcPr>
          <w:p w14:paraId="31CE956A">
            <w:pPr>
              <w:snapToGrid w:val="0"/>
              <w:spacing w:before="50" w:after="156" w:afterLines="50" w:line="400" w:lineRule="exact"/>
              <w:jc w:val="left"/>
              <w:rPr>
                <w:rFonts w:ascii="宋体" w:hAnsi="宋体" w:cs="宋体"/>
                <w:color w:val="auto"/>
                <w:sz w:val="24"/>
                <w:highlight w:val="none"/>
              </w:rPr>
            </w:pPr>
          </w:p>
        </w:tc>
        <w:tc>
          <w:tcPr>
            <w:tcW w:w="2437" w:type="dxa"/>
            <w:tcBorders>
              <w:top w:val="single" w:color="auto" w:sz="4" w:space="0"/>
              <w:left w:val="single" w:color="auto" w:sz="4" w:space="0"/>
              <w:bottom w:val="single" w:color="auto" w:sz="4" w:space="0"/>
              <w:right w:val="single" w:color="auto" w:sz="4" w:space="0"/>
            </w:tcBorders>
          </w:tcPr>
          <w:p w14:paraId="6F8BCE41">
            <w:pPr>
              <w:snapToGrid w:val="0"/>
              <w:spacing w:before="50" w:after="156" w:afterLines="50" w:line="400" w:lineRule="exact"/>
              <w:jc w:val="left"/>
              <w:rPr>
                <w:rFonts w:ascii="宋体" w:hAnsi="宋体" w:cs="宋体"/>
                <w:color w:val="auto"/>
                <w:sz w:val="24"/>
                <w:highlight w:val="none"/>
              </w:rPr>
            </w:pPr>
          </w:p>
        </w:tc>
        <w:tc>
          <w:tcPr>
            <w:tcW w:w="1935" w:type="dxa"/>
            <w:tcBorders>
              <w:top w:val="single" w:color="auto" w:sz="4" w:space="0"/>
              <w:left w:val="single" w:color="auto" w:sz="4" w:space="0"/>
              <w:bottom w:val="single" w:color="auto" w:sz="4" w:space="0"/>
              <w:right w:val="single" w:color="auto" w:sz="4" w:space="0"/>
            </w:tcBorders>
          </w:tcPr>
          <w:p w14:paraId="3BA811DA">
            <w:pPr>
              <w:snapToGrid w:val="0"/>
              <w:spacing w:before="50" w:after="156" w:afterLines="50" w:line="400" w:lineRule="exact"/>
              <w:jc w:val="left"/>
              <w:rPr>
                <w:rFonts w:ascii="宋体" w:hAnsi="宋体" w:cs="宋体"/>
                <w:color w:val="auto"/>
                <w:sz w:val="24"/>
                <w:highlight w:val="none"/>
              </w:rPr>
            </w:pPr>
          </w:p>
        </w:tc>
      </w:tr>
      <w:tr w14:paraId="310AC5F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57" w:hRule="atLeast"/>
          <w:jc w:val="center"/>
        </w:trPr>
        <w:tc>
          <w:tcPr>
            <w:tcW w:w="1821" w:type="dxa"/>
            <w:tcBorders>
              <w:top w:val="single" w:color="auto" w:sz="4" w:space="0"/>
              <w:left w:val="single" w:color="auto" w:sz="4" w:space="0"/>
              <w:bottom w:val="single" w:color="auto" w:sz="4" w:space="0"/>
              <w:right w:val="single" w:color="auto" w:sz="4" w:space="0"/>
            </w:tcBorders>
          </w:tcPr>
          <w:p w14:paraId="3E4FD96A">
            <w:pPr>
              <w:snapToGrid w:val="0"/>
              <w:spacing w:before="50" w:after="156" w:afterLines="50" w:line="400" w:lineRule="exact"/>
              <w:jc w:val="left"/>
              <w:rPr>
                <w:rFonts w:ascii="宋体" w:hAnsi="宋体" w:cs="宋体"/>
                <w:color w:val="auto"/>
                <w:sz w:val="24"/>
                <w:highlight w:val="none"/>
              </w:rPr>
            </w:pPr>
          </w:p>
        </w:tc>
        <w:tc>
          <w:tcPr>
            <w:tcW w:w="2367" w:type="dxa"/>
            <w:tcBorders>
              <w:top w:val="single" w:color="auto" w:sz="4" w:space="0"/>
              <w:left w:val="single" w:color="auto" w:sz="4" w:space="0"/>
              <w:bottom w:val="single" w:color="auto" w:sz="4" w:space="0"/>
              <w:right w:val="single" w:color="auto" w:sz="4" w:space="0"/>
            </w:tcBorders>
          </w:tcPr>
          <w:p w14:paraId="2399BB1E">
            <w:pPr>
              <w:snapToGrid w:val="0"/>
              <w:spacing w:before="50" w:after="156" w:afterLines="50" w:line="400" w:lineRule="exact"/>
              <w:jc w:val="left"/>
              <w:rPr>
                <w:rFonts w:ascii="宋体" w:hAnsi="宋体" w:cs="宋体"/>
                <w:color w:val="auto"/>
                <w:sz w:val="24"/>
                <w:highlight w:val="none"/>
              </w:rPr>
            </w:pPr>
          </w:p>
        </w:tc>
        <w:tc>
          <w:tcPr>
            <w:tcW w:w="2437" w:type="dxa"/>
            <w:tcBorders>
              <w:top w:val="single" w:color="auto" w:sz="4" w:space="0"/>
              <w:left w:val="single" w:color="auto" w:sz="4" w:space="0"/>
              <w:bottom w:val="single" w:color="auto" w:sz="4" w:space="0"/>
              <w:right w:val="single" w:color="auto" w:sz="4" w:space="0"/>
            </w:tcBorders>
          </w:tcPr>
          <w:p w14:paraId="114784D2">
            <w:pPr>
              <w:snapToGrid w:val="0"/>
              <w:spacing w:before="50" w:after="156" w:afterLines="50" w:line="400" w:lineRule="exact"/>
              <w:jc w:val="left"/>
              <w:rPr>
                <w:rFonts w:ascii="宋体" w:hAnsi="宋体" w:cs="宋体"/>
                <w:color w:val="auto"/>
                <w:sz w:val="24"/>
                <w:highlight w:val="none"/>
              </w:rPr>
            </w:pPr>
          </w:p>
        </w:tc>
        <w:tc>
          <w:tcPr>
            <w:tcW w:w="1935" w:type="dxa"/>
            <w:tcBorders>
              <w:top w:val="single" w:color="auto" w:sz="4" w:space="0"/>
              <w:left w:val="single" w:color="auto" w:sz="4" w:space="0"/>
              <w:bottom w:val="single" w:color="auto" w:sz="4" w:space="0"/>
              <w:right w:val="single" w:color="auto" w:sz="4" w:space="0"/>
            </w:tcBorders>
          </w:tcPr>
          <w:p w14:paraId="4EE88B9E">
            <w:pPr>
              <w:snapToGrid w:val="0"/>
              <w:spacing w:before="50" w:after="156" w:afterLines="50" w:line="400" w:lineRule="exact"/>
              <w:jc w:val="left"/>
              <w:rPr>
                <w:rFonts w:ascii="宋体" w:hAnsi="宋体" w:cs="宋体"/>
                <w:color w:val="auto"/>
                <w:sz w:val="24"/>
                <w:highlight w:val="none"/>
              </w:rPr>
            </w:pPr>
          </w:p>
        </w:tc>
      </w:tr>
      <w:tr w14:paraId="5653DF0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2" w:hRule="atLeast"/>
          <w:jc w:val="center"/>
        </w:trPr>
        <w:tc>
          <w:tcPr>
            <w:tcW w:w="1821" w:type="dxa"/>
            <w:tcBorders>
              <w:top w:val="single" w:color="auto" w:sz="4" w:space="0"/>
              <w:left w:val="single" w:color="auto" w:sz="4" w:space="0"/>
              <w:bottom w:val="single" w:color="auto" w:sz="4" w:space="0"/>
              <w:right w:val="single" w:color="auto" w:sz="4" w:space="0"/>
            </w:tcBorders>
          </w:tcPr>
          <w:p w14:paraId="637EB83B">
            <w:pPr>
              <w:snapToGrid w:val="0"/>
              <w:spacing w:before="50" w:after="156" w:afterLines="50" w:line="400" w:lineRule="exact"/>
              <w:jc w:val="left"/>
              <w:rPr>
                <w:rFonts w:ascii="宋体" w:hAnsi="宋体" w:cs="宋体"/>
                <w:color w:val="auto"/>
                <w:sz w:val="24"/>
                <w:highlight w:val="none"/>
              </w:rPr>
            </w:pPr>
          </w:p>
        </w:tc>
        <w:tc>
          <w:tcPr>
            <w:tcW w:w="2367" w:type="dxa"/>
            <w:tcBorders>
              <w:top w:val="single" w:color="auto" w:sz="4" w:space="0"/>
              <w:left w:val="single" w:color="auto" w:sz="4" w:space="0"/>
              <w:bottom w:val="single" w:color="auto" w:sz="4" w:space="0"/>
              <w:right w:val="single" w:color="auto" w:sz="4" w:space="0"/>
            </w:tcBorders>
          </w:tcPr>
          <w:p w14:paraId="163A2A8A">
            <w:pPr>
              <w:snapToGrid w:val="0"/>
              <w:spacing w:before="50" w:after="156" w:afterLines="50" w:line="400" w:lineRule="exact"/>
              <w:jc w:val="left"/>
              <w:rPr>
                <w:rFonts w:ascii="宋体" w:hAnsi="宋体" w:cs="宋体"/>
                <w:color w:val="auto"/>
                <w:sz w:val="24"/>
                <w:highlight w:val="none"/>
              </w:rPr>
            </w:pPr>
          </w:p>
        </w:tc>
        <w:tc>
          <w:tcPr>
            <w:tcW w:w="2437" w:type="dxa"/>
            <w:tcBorders>
              <w:top w:val="single" w:color="auto" w:sz="4" w:space="0"/>
              <w:left w:val="single" w:color="auto" w:sz="4" w:space="0"/>
              <w:bottom w:val="single" w:color="auto" w:sz="4" w:space="0"/>
              <w:right w:val="single" w:color="auto" w:sz="4" w:space="0"/>
            </w:tcBorders>
          </w:tcPr>
          <w:p w14:paraId="7B079724">
            <w:pPr>
              <w:snapToGrid w:val="0"/>
              <w:spacing w:before="50" w:after="156" w:afterLines="50" w:line="400" w:lineRule="exact"/>
              <w:jc w:val="left"/>
              <w:rPr>
                <w:rFonts w:ascii="宋体" w:hAnsi="宋体" w:cs="宋体"/>
                <w:color w:val="auto"/>
                <w:sz w:val="24"/>
                <w:highlight w:val="none"/>
              </w:rPr>
            </w:pPr>
          </w:p>
        </w:tc>
        <w:tc>
          <w:tcPr>
            <w:tcW w:w="1935" w:type="dxa"/>
            <w:tcBorders>
              <w:top w:val="single" w:color="auto" w:sz="4" w:space="0"/>
              <w:left w:val="single" w:color="auto" w:sz="4" w:space="0"/>
              <w:bottom w:val="single" w:color="auto" w:sz="4" w:space="0"/>
              <w:right w:val="single" w:color="auto" w:sz="4" w:space="0"/>
            </w:tcBorders>
          </w:tcPr>
          <w:p w14:paraId="29018992">
            <w:pPr>
              <w:snapToGrid w:val="0"/>
              <w:spacing w:before="50" w:after="156" w:afterLines="50" w:line="400" w:lineRule="exact"/>
              <w:jc w:val="left"/>
              <w:rPr>
                <w:rFonts w:ascii="宋体" w:hAnsi="宋体" w:cs="宋体"/>
                <w:color w:val="auto"/>
                <w:sz w:val="24"/>
                <w:highlight w:val="none"/>
              </w:rPr>
            </w:pPr>
          </w:p>
        </w:tc>
      </w:tr>
      <w:tr w14:paraId="32BC20C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32" w:hRule="atLeast"/>
          <w:jc w:val="center"/>
        </w:trPr>
        <w:tc>
          <w:tcPr>
            <w:tcW w:w="1821" w:type="dxa"/>
            <w:tcBorders>
              <w:top w:val="single" w:color="auto" w:sz="4" w:space="0"/>
              <w:left w:val="single" w:color="auto" w:sz="4" w:space="0"/>
              <w:bottom w:val="single" w:color="auto" w:sz="4" w:space="0"/>
              <w:right w:val="single" w:color="auto" w:sz="4" w:space="0"/>
            </w:tcBorders>
          </w:tcPr>
          <w:p w14:paraId="6C955E37">
            <w:pPr>
              <w:snapToGrid w:val="0"/>
              <w:spacing w:before="50" w:after="156" w:afterLines="50" w:line="400" w:lineRule="exact"/>
              <w:jc w:val="left"/>
              <w:rPr>
                <w:rFonts w:ascii="宋体" w:hAnsi="宋体" w:cs="宋体"/>
                <w:color w:val="auto"/>
                <w:sz w:val="24"/>
                <w:highlight w:val="none"/>
              </w:rPr>
            </w:pPr>
          </w:p>
        </w:tc>
        <w:tc>
          <w:tcPr>
            <w:tcW w:w="2367" w:type="dxa"/>
            <w:tcBorders>
              <w:top w:val="single" w:color="auto" w:sz="4" w:space="0"/>
              <w:left w:val="single" w:color="auto" w:sz="4" w:space="0"/>
              <w:bottom w:val="single" w:color="auto" w:sz="4" w:space="0"/>
              <w:right w:val="single" w:color="auto" w:sz="4" w:space="0"/>
            </w:tcBorders>
          </w:tcPr>
          <w:p w14:paraId="09C6EEE0">
            <w:pPr>
              <w:snapToGrid w:val="0"/>
              <w:spacing w:before="50" w:after="156" w:afterLines="50" w:line="400" w:lineRule="exact"/>
              <w:jc w:val="left"/>
              <w:rPr>
                <w:rFonts w:ascii="宋体" w:hAnsi="宋体" w:cs="宋体"/>
                <w:color w:val="auto"/>
                <w:sz w:val="24"/>
                <w:highlight w:val="none"/>
              </w:rPr>
            </w:pPr>
          </w:p>
        </w:tc>
        <w:tc>
          <w:tcPr>
            <w:tcW w:w="2437" w:type="dxa"/>
            <w:tcBorders>
              <w:top w:val="single" w:color="auto" w:sz="4" w:space="0"/>
              <w:left w:val="single" w:color="auto" w:sz="4" w:space="0"/>
              <w:bottom w:val="single" w:color="auto" w:sz="4" w:space="0"/>
              <w:right w:val="single" w:color="auto" w:sz="4" w:space="0"/>
            </w:tcBorders>
          </w:tcPr>
          <w:p w14:paraId="03BC5724">
            <w:pPr>
              <w:snapToGrid w:val="0"/>
              <w:spacing w:before="50" w:after="156" w:afterLines="50" w:line="400" w:lineRule="exact"/>
              <w:jc w:val="left"/>
              <w:rPr>
                <w:rFonts w:ascii="宋体" w:hAnsi="宋体" w:cs="宋体"/>
                <w:color w:val="auto"/>
                <w:sz w:val="24"/>
                <w:highlight w:val="none"/>
              </w:rPr>
            </w:pPr>
          </w:p>
        </w:tc>
        <w:tc>
          <w:tcPr>
            <w:tcW w:w="1935" w:type="dxa"/>
            <w:tcBorders>
              <w:top w:val="single" w:color="auto" w:sz="4" w:space="0"/>
              <w:left w:val="single" w:color="auto" w:sz="4" w:space="0"/>
              <w:bottom w:val="single" w:color="auto" w:sz="4" w:space="0"/>
              <w:right w:val="single" w:color="auto" w:sz="4" w:space="0"/>
            </w:tcBorders>
          </w:tcPr>
          <w:p w14:paraId="6DC26DEF">
            <w:pPr>
              <w:snapToGrid w:val="0"/>
              <w:spacing w:before="50" w:after="156" w:afterLines="50" w:line="400" w:lineRule="exact"/>
              <w:jc w:val="left"/>
              <w:rPr>
                <w:rFonts w:ascii="宋体" w:hAnsi="宋体" w:cs="宋体"/>
                <w:color w:val="auto"/>
                <w:sz w:val="24"/>
                <w:highlight w:val="none"/>
              </w:rPr>
            </w:pPr>
          </w:p>
        </w:tc>
      </w:tr>
    </w:tbl>
    <w:p w14:paraId="1DFEB55E">
      <w:pPr>
        <w:snapToGrid w:val="0"/>
        <w:spacing w:before="152" w:after="160"/>
        <w:rPr>
          <w:rFonts w:ascii="宋体" w:hAnsi="宋体" w:cs="宋体"/>
          <w:color w:val="auto"/>
          <w:sz w:val="24"/>
          <w:highlight w:val="none"/>
        </w:rPr>
      </w:pPr>
    </w:p>
    <w:p w14:paraId="40B9C72E">
      <w:pPr>
        <w:snapToGrid w:val="0"/>
        <w:spacing w:before="152" w:after="160"/>
        <w:jc w:val="left"/>
        <w:rPr>
          <w:rFonts w:ascii="宋体" w:hAnsi="宋体" w:cs="宋体"/>
          <w:color w:val="auto"/>
          <w:sz w:val="24"/>
          <w:highlight w:val="none"/>
          <w:u w:val="single"/>
        </w:rPr>
      </w:pPr>
      <w:r>
        <w:rPr>
          <w:rFonts w:hint="eastAsia" w:ascii="宋体" w:hAnsi="宋体" w:cs="宋体"/>
          <w:color w:val="auto"/>
          <w:sz w:val="24"/>
          <w:highlight w:val="none"/>
        </w:rPr>
        <w:t>法定代表人或者委托代理人签字：</w:t>
      </w:r>
      <w:r>
        <w:rPr>
          <w:rFonts w:hint="eastAsia" w:ascii="宋体" w:hAnsi="宋体" w:cs="宋体"/>
          <w:color w:val="auto"/>
          <w:sz w:val="24"/>
          <w:highlight w:val="none"/>
          <w:u w:val="single"/>
        </w:rPr>
        <w:t>　　　　　</w:t>
      </w:r>
    </w:p>
    <w:p w14:paraId="00093FA5">
      <w:pPr>
        <w:snapToGrid w:val="0"/>
        <w:spacing w:before="50"/>
        <w:ind w:right="480"/>
        <w:jc w:val="left"/>
        <w:rPr>
          <w:rFonts w:ascii="宋体" w:hAnsi="宋体" w:cs="宋体"/>
          <w:color w:val="auto"/>
          <w:sz w:val="24"/>
          <w:szCs w:val="20"/>
          <w:highlight w:val="none"/>
        </w:rPr>
      </w:pPr>
      <w:r>
        <w:rPr>
          <w:rFonts w:hint="eastAsia" w:ascii="宋体" w:hAnsi="宋体" w:cs="宋体"/>
          <w:color w:val="auto"/>
          <w:sz w:val="24"/>
          <w:highlight w:val="none"/>
        </w:rPr>
        <w:t xml:space="preserve">供应商（盖公章）： </w:t>
      </w:r>
      <w:r>
        <w:rPr>
          <w:rFonts w:hint="eastAsia" w:ascii="宋体" w:hAnsi="宋体" w:cs="宋体"/>
          <w:color w:val="auto"/>
          <w:sz w:val="24"/>
          <w:highlight w:val="none"/>
          <w:u w:val="single"/>
        </w:rPr>
        <w:t xml:space="preserve">                </w:t>
      </w:r>
      <w:r>
        <w:rPr>
          <w:rFonts w:hint="eastAsia" w:ascii="宋体" w:hAnsi="宋体" w:cs="宋体"/>
          <w:color w:val="auto"/>
          <w:sz w:val="24"/>
          <w:highlight w:val="none"/>
        </w:rPr>
        <w:t xml:space="preserve">                                                              年    月    日</w:t>
      </w:r>
    </w:p>
    <w:p w14:paraId="4B170E2B">
      <w:pPr>
        <w:pStyle w:val="24"/>
        <w:rPr>
          <w:color w:val="auto"/>
          <w:highlight w:val="none"/>
        </w:rPr>
      </w:pPr>
    </w:p>
    <w:p w14:paraId="269AC517">
      <w:pPr>
        <w:spacing w:line="300" w:lineRule="auto"/>
        <w:rPr>
          <w:rFonts w:ascii="宋体" w:hAnsi="宋体"/>
          <w:color w:val="auto"/>
          <w:szCs w:val="21"/>
          <w:highlight w:val="none"/>
        </w:rPr>
      </w:pPr>
      <w:r>
        <w:rPr>
          <w:rFonts w:ascii="宋体" w:hAnsi="宋体"/>
          <w:b/>
          <w:bCs/>
          <w:color w:val="auto"/>
          <w:sz w:val="24"/>
          <w:highlight w:val="none"/>
        </w:rPr>
        <w:br w:type="page"/>
      </w:r>
      <w:r>
        <w:rPr>
          <w:rFonts w:hint="eastAsia" w:ascii="宋体" w:hAnsi="宋体"/>
          <w:b/>
          <w:bCs/>
          <w:color w:val="auto"/>
          <w:sz w:val="24"/>
          <w:highlight w:val="none"/>
        </w:rPr>
        <w:t>其他文书、文件格式</w:t>
      </w:r>
    </w:p>
    <w:p w14:paraId="5C9881E0">
      <w:pPr>
        <w:spacing w:line="520" w:lineRule="exact"/>
        <w:jc w:val="center"/>
        <w:rPr>
          <w:rFonts w:ascii="仿宋_GB2312" w:hAnsi="仿宋_GB2312" w:eastAsia="仿宋_GB2312" w:cs="仿宋_GB2312"/>
          <w:color w:val="auto"/>
          <w:sz w:val="32"/>
          <w:szCs w:val="32"/>
          <w:highlight w:val="none"/>
        </w:rPr>
      </w:pPr>
      <w:r>
        <w:rPr>
          <w:rFonts w:hint="eastAsia" w:ascii="方正小标宋简体" w:hAnsi="方正小标宋简体" w:eastAsia="方正小标宋简体" w:cs="方正小标宋简体"/>
          <w:color w:val="auto"/>
          <w:sz w:val="44"/>
          <w:szCs w:val="44"/>
          <w:highlight w:val="none"/>
        </w:rPr>
        <w:t>中小企业声明函（服务）</w:t>
      </w:r>
    </w:p>
    <w:p w14:paraId="1CA288E4">
      <w:pPr>
        <w:spacing w:line="520" w:lineRule="exact"/>
        <w:rPr>
          <w:rFonts w:ascii="仿宋_GB2312" w:hAnsi="仿宋_GB2312" w:eastAsia="仿宋_GB2312" w:cs="仿宋_GB2312"/>
          <w:color w:val="auto"/>
          <w:sz w:val="32"/>
          <w:szCs w:val="32"/>
          <w:highlight w:val="none"/>
        </w:rPr>
      </w:pPr>
    </w:p>
    <w:p w14:paraId="70E6A923">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本公司郑重声明，根据《政府采购促进中小企业发展管理办法》（财库[2020]46号）的规定，本公司参加</w:t>
      </w:r>
      <w:r>
        <w:rPr>
          <w:rFonts w:hint="eastAsia" w:ascii="宋体" w:hAnsi="宋体" w:cs="仿宋_GB2312"/>
          <w:color w:val="auto"/>
          <w:sz w:val="24"/>
          <w:highlight w:val="none"/>
          <w:u w:val="single"/>
        </w:rPr>
        <w:t>（单位名称）</w:t>
      </w:r>
      <w:r>
        <w:rPr>
          <w:rFonts w:hint="eastAsia" w:ascii="宋体" w:hAnsi="宋体" w:cs="仿宋_GB2312"/>
          <w:color w:val="auto"/>
          <w:sz w:val="24"/>
          <w:highlight w:val="none"/>
        </w:rPr>
        <w:t>的</w:t>
      </w:r>
      <w:r>
        <w:rPr>
          <w:rFonts w:hint="eastAsia" w:ascii="宋体" w:hAnsi="宋体" w:cs="仿宋_GB2312"/>
          <w:color w:val="auto"/>
          <w:sz w:val="24"/>
          <w:highlight w:val="none"/>
          <w:u w:val="single"/>
        </w:rPr>
        <w:t>（项目名称）</w:t>
      </w:r>
      <w:r>
        <w:rPr>
          <w:rFonts w:hint="eastAsia" w:ascii="宋体" w:hAnsi="宋体" w:cs="仿宋_GB2312"/>
          <w:color w:val="auto"/>
          <w:sz w:val="24"/>
          <w:highlight w:val="none"/>
        </w:rPr>
        <w:t>采购活动，</w:t>
      </w:r>
      <w:r>
        <w:rPr>
          <w:rFonts w:hint="eastAsia" w:ascii="宋体" w:hAnsi="宋体"/>
          <w:color w:val="auto"/>
          <w:sz w:val="24"/>
          <w:highlight w:val="none"/>
        </w:rPr>
        <w:t>服务全部由符合政策要求的中小企业承接。</w:t>
      </w:r>
      <w:r>
        <w:rPr>
          <w:rFonts w:hint="eastAsia" w:ascii="宋体" w:hAnsi="宋体" w:cs="仿宋_GB2312"/>
          <w:color w:val="auto"/>
          <w:sz w:val="24"/>
          <w:highlight w:val="none"/>
        </w:rPr>
        <w:t xml:space="preserve">相关企业（含联合体中的中小企业、签订分包意向协议的中小企业）的具体情况如下： </w:t>
      </w:r>
    </w:p>
    <w:p w14:paraId="76C06B18">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1.</w:t>
      </w:r>
      <w:r>
        <w:rPr>
          <w:rFonts w:hint="eastAsia" w:ascii="宋体" w:hAnsi="宋体" w:cs="仿宋_GB2312"/>
          <w:color w:val="auto"/>
          <w:sz w:val="24"/>
          <w:highlight w:val="none"/>
          <w:u w:val="single"/>
        </w:rPr>
        <w:t>（标的名称）</w:t>
      </w:r>
      <w:r>
        <w:rPr>
          <w:rFonts w:hint="eastAsia" w:ascii="宋体" w:hAnsi="宋体" w:cs="仿宋_GB2312"/>
          <w:color w:val="auto"/>
          <w:sz w:val="24"/>
          <w:highlight w:val="none"/>
        </w:rPr>
        <w:t>，属于</w:t>
      </w:r>
      <w:r>
        <w:rPr>
          <w:rFonts w:hint="eastAsia" w:ascii="宋体" w:hAnsi="宋体" w:cs="仿宋_GB2312"/>
          <w:color w:val="auto"/>
          <w:sz w:val="24"/>
          <w:highlight w:val="none"/>
          <w:u w:val="single"/>
        </w:rPr>
        <w:t>（采购文件中明确的所属行业）</w:t>
      </w:r>
      <w:r>
        <w:rPr>
          <w:rFonts w:hint="eastAsia" w:ascii="宋体" w:hAnsi="宋体" w:cs="仿宋_GB2312"/>
          <w:color w:val="auto"/>
          <w:sz w:val="24"/>
          <w:highlight w:val="none"/>
        </w:rPr>
        <w:t>行业；</w:t>
      </w:r>
      <w:r>
        <w:rPr>
          <w:rFonts w:hint="eastAsia" w:ascii="宋体" w:hAnsi="宋体"/>
          <w:color w:val="auto"/>
          <w:sz w:val="24"/>
          <w:highlight w:val="none"/>
        </w:rPr>
        <w:t>承接企业为</w:t>
      </w:r>
      <w:r>
        <w:rPr>
          <w:rFonts w:hint="eastAsia" w:ascii="宋体" w:hAnsi="宋体" w:cs="仿宋_GB2312"/>
          <w:color w:val="auto"/>
          <w:sz w:val="24"/>
          <w:highlight w:val="none"/>
          <w:u w:val="single"/>
        </w:rPr>
        <w:t>（企业名称）</w:t>
      </w:r>
      <w:r>
        <w:rPr>
          <w:rFonts w:hint="eastAsia" w:ascii="宋体" w:hAnsi="宋体" w:cs="仿宋_GB2312"/>
          <w:color w:val="auto"/>
          <w:sz w:val="24"/>
          <w:highlight w:val="none"/>
        </w:rPr>
        <w:t>，从业人员</w:t>
      </w:r>
      <w:r>
        <w:rPr>
          <w:rFonts w:hint="eastAsia" w:ascii="宋体" w:hAnsi="宋体" w:cs="仿宋_GB2312"/>
          <w:color w:val="auto"/>
          <w:sz w:val="24"/>
          <w:highlight w:val="none"/>
          <w:u w:val="single"/>
        </w:rPr>
        <w:t xml:space="preserve">    </w:t>
      </w:r>
      <w:r>
        <w:rPr>
          <w:rFonts w:hint="eastAsia" w:ascii="宋体" w:hAnsi="宋体" w:cs="仿宋_GB2312"/>
          <w:color w:val="auto"/>
          <w:sz w:val="24"/>
          <w:highlight w:val="none"/>
        </w:rPr>
        <w:t>人，营业收入为</w:t>
      </w:r>
      <w:r>
        <w:rPr>
          <w:rFonts w:hint="eastAsia" w:ascii="宋体" w:hAnsi="宋体" w:cs="仿宋_GB2312"/>
          <w:color w:val="auto"/>
          <w:sz w:val="24"/>
          <w:highlight w:val="none"/>
          <w:u w:val="single"/>
        </w:rPr>
        <w:t xml:space="preserve">     </w:t>
      </w:r>
      <w:r>
        <w:rPr>
          <w:rFonts w:hint="eastAsia" w:ascii="宋体" w:hAnsi="宋体" w:cs="仿宋_GB2312"/>
          <w:color w:val="auto"/>
          <w:sz w:val="24"/>
          <w:highlight w:val="none"/>
        </w:rPr>
        <w:t>万元，资产总额为</w:t>
      </w:r>
      <w:r>
        <w:rPr>
          <w:rFonts w:hint="eastAsia" w:ascii="宋体" w:hAnsi="宋体" w:cs="仿宋_GB2312"/>
          <w:color w:val="auto"/>
          <w:sz w:val="24"/>
          <w:highlight w:val="none"/>
          <w:u w:val="single"/>
        </w:rPr>
        <w:t xml:space="preserve">   </w:t>
      </w:r>
      <w:r>
        <w:rPr>
          <w:rFonts w:hint="eastAsia" w:ascii="宋体" w:hAnsi="宋体" w:cs="仿宋_GB2312"/>
          <w:color w:val="auto"/>
          <w:sz w:val="24"/>
          <w:highlight w:val="none"/>
        </w:rPr>
        <w:t>万元，属于</w:t>
      </w:r>
      <w:r>
        <w:rPr>
          <w:rFonts w:hint="eastAsia" w:ascii="宋体" w:hAnsi="宋体" w:cs="仿宋_GB2312"/>
          <w:color w:val="auto"/>
          <w:sz w:val="24"/>
          <w:highlight w:val="none"/>
          <w:u w:val="single"/>
        </w:rPr>
        <w:t>（中型企业、小型企业、微型企业）</w:t>
      </w:r>
      <w:r>
        <w:rPr>
          <w:rFonts w:hint="eastAsia" w:ascii="宋体" w:hAnsi="宋体" w:cs="仿宋_GB2312"/>
          <w:color w:val="auto"/>
          <w:sz w:val="24"/>
          <w:highlight w:val="none"/>
        </w:rPr>
        <w:t>；</w:t>
      </w:r>
    </w:p>
    <w:p w14:paraId="445F0817">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2.</w:t>
      </w:r>
      <w:r>
        <w:rPr>
          <w:rFonts w:hint="eastAsia" w:ascii="宋体" w:hAnsi="宋体" w:cs="仿宋_GB2312"/>
          <w:color w:val="auto"/>
          <w:sz w:val="24"/>
          <w:highlight w:val="none"/>
          <w:u w:val="single"/>
        </w:rPr>
        <w:t>（标的名称）</w:t>
      </w:r>
      <w:r>
        <w:rPr>
          <w:rFonts w:hint="eastAsia" w:ascii="宋体" w:hAnsi="宋体" w:cs="仿宋_GB2312"/>
          <w:color w:val="auto"/>
          <w:sz w:val="24"/>
          <w:highlight w:val="none"/>
        </w:rPr>
        <w:t>，属于</w:t>
      </w:r>
      <w:r>
        <w:rPr>
          <w:rFonts w:hint="eastAsia" w:ascii="宋体" w:hAnsi="宋体" w:cs="仿宋_GB2312"/>
          <w:color w:val="auto"/>
          <w:sz w:val="24"/>
          <w:highlight w:val="none"/>
          <w:u w:val="single"/>
        </w:rPr>
        <w:t>（采购文件中明确的所属行业）</w:t>
      </w:r>
      <w:r>
        <w:rPr>
          <w:rFonts w:hint="eastAsia" w:ascii="宋体" w:hAnsi="宋体" w:cs="仿宋_GB2312"/>
          <w:color w:val="auto"/>
          <w:sz w:val="24"/>
          <w:highlight w:val="none"/>
        </w:rPr>
        <w:t>行业；</w:t>
      </w:r>
      <w:r>
        <w:rPr>
          <w:rFonts w:hint="eastAsia" w:ascii="宋体" w:hAnsi="宋体"/>
          <w:color w:val="auto"/>
          <w:sz w:val="24"/>
          <w:highlight w:val="none"/>
        </w:rPr>
        <w:t>承接企业为</w:t>
      </w:r>
      <w:r>
        <w:rPr>
          <w:rFonts w:hint="eastAsia" w:ascii="宋体" w:hAnsi="宋体" w:cs="仿宋_GB2312"/>
          <w:color w:val="auto"/>
          <w:sz w:val="24"/>
          <w:highlight w:val="none"/>
          <w:u w:val="single"/>
        </w:rPr>
        <w:t>（企业名称）</w:t>
      </w:r>
      <w:r>
        <w:rPr>
          <w:rFonts w:hint="eastAsia" w:ascii="宋体" w:hAnsi="宋体" w:cs="仿宋_GB2312"/>
          <w:color w:val="auto"/>
          <w:sz w:val="24"/>
          <w:highlight w:val="none"/>
        </w:rPr>
        <w:t>，从业人员</w:t>
      </w:r>
      <w:r>
        <w:rPr>
          <w:rFonts w:hint="eastAsia" w:ascii="宋体" w:hAnsi="宋体" w:cs="仿宋_GB2312"/>
          <w:color w:val="auto"/>
          <w:sz w:val="24"/>
          <w:highlight w:val="none"/>
          <w:u w:val="single"/>
        </w:rPr>
        <w:t xml:space="preserve">    </w:t>
      </w:r>
      <w:r>
        <w:rPr>
          <w:rFonts w:hint="eastAsia" w:ascii="宋体" w:hAnsi="宋体" w:cs="仿宋_GB2312"/>
          <w:color w:val="auto"/>
          <w:sz w:val="24"/>
          <w:highlight w:val="none"/>
        </w:rPr>
        <w:t>人，营业收入为</w:t>
      </w:r>
      <w:r>
        <w:rPr>
          <w:rFonts w:hint="eastAsia" w:ascii="宋体" w:hAnsi="宋体" w:cs="仿宋_GB2312"/>
          <w:color w:val="auto"/>
          <w:sz w:val="24"/>
          <w:highlight w:val="none"/>
          <w:u w:val="single"/>
        </w:rPr>
        <w:t xml:space="preserve">     </w:t>
      </w:r>
      <w:r>
        <w:rPr>
          <w:rFonts w:hint="eastAsia" w:ascii="宋体" w:hAnsi="宋体" w:cs="仿宋_GB2312"/>
          <w:color w:val="auto"/>
          <w:sz w:val="24"/>
          <w:highlight w:val="none"/>
        </w:rPr>
        <w:t>万元，资产总额为</w:t>
      </w:r>
      <w:r>
        <w:rPr>
          <w:rFonts w:hint="eastAsia" w:ascii="宋体" w:hAnsi="宋体" w:cs="仿宋_GB2312"/>
          <w:color w:val="auto"/>
          <w:sz w:val="24"/>
          <w:highlight w:val="none"/>
          <w:u w:val="single"/>
        </w:rPr>
        <w:t xml:space="preserve">   </w:t>
      </w:r>
      <w:r>
        <w:rPr>
          <w:rFonts w:hint="eastAsia" w:ascii="宋体" w:hAnsi="宋体" w:cs="仿宋_GB2312"/>
          <w:color w:val="auto"/>
          <w:sz w:val="24"/>
          <w:highlight w:val="none"/>
        </w:rPr>
        <w:t>万元，属于</w:t>
      </w:r>
      <w:r>
        <w:rPr>
          <w:rFonts w:hint="eastAsia" w:ascii="宋体" w:hAnsi="宋体" w:cs="仿宋_GB2312"/>
          <w:color w:val="auto"/>
          <w:sz w:val="24"/>
          <w:highlight w:val="none"/>
          <w:u w:val="single"/>
        </w:rPr>
        <w:t>（中型企业、小型企业、微型企业）</w:t>
      </w:r>
      <w:r>
        <w:rPr>
          <w:rFonts w:hint="eastAsia" w:ascii="宋体" w:hAnsi="宋体" w:cs="仿宋_GB2312"/>
          <w:color w:val="auto"/>
          <w:sz w:val="24"/>
          <w:highlight w:val="none"/>
        </w:rPr>
        <w:t>；</w:t>
      </w:r>
    </w:p>
    <w:p w14:paraId="469BA67D">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w:t>
      </w:r>
    </w:p>
    <w:p w14:paraId="0D70227A">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以上企业，不属于大企业的分支机构，不存在控股股东为大企业的情形，也不存在与大企业的负责人为同一人的情形。</w:t>
      </w:r>
    </w:p>
    <w:p w14:paraId="3DF722AA">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本公司对上述声明内容的真实性负责。如有虚假，将依法承担相应责任。</w:t>
      </w:r>
    </w:p>
    <w:p w14:paraId="2B492201">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 xml:space="preserve">                            </w:t>
      </w:r>
    </w:p>
    <w:p w14:paraId="289506A4">
      <w:pPr>
        <w:spacing w:line="360" w:lineRule="auto"/>
        <w:ind w:firstLine="3120" w:firstLineChars="1300"/>
        <w:rPr>
          <w:rFonts w:ascii="宋体" w:hAnsi="宋体" w:cs="仿宋_GB2312"/>
          <w:color w:val="auto"/>
          <w:sz w:val="24"/>
          <w:highlight w:val="none"/>
        </w:rPr>
      </w:pPr>
      <w:r>
        <w:rPr>
          <w:rFonts w:hint="eastAsia" w:ascii="宋体" w:hAnsi="宋体" w:cs="仿宋_GB2312"/>
          <w:color w:val="auto"/>
          <w:sz w:val="24"/>
          <w:highlight w:val="none"/>
        </w:rPr>
        <w:t xml:space="preserve">  企业名称（盖公章）： </w:t>
      </w:r>
    </w:p>
    <w:p w14:paraId="58563C31">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 xml:space="preserve">                                    日  期： </w:t>
      </w:r>
    </w:p>
    <w:p w14:paraId="54398C9C">
      <w:pPr>
        <w:rPr>
          <w:rFonts w:ascii="宋体" w:hAnsi="宋体"/>
          <w:color w:val="auto"/>
          <w:sz w:val="24"/>
          <w:highlight w:val="none"/>
        </w:rPr>
      </w:pPr>
      <w:r>
        <w:rPr>
          <w:rFonts w:hint="eastAsia" w:ascii="宋体" w:hAnsi="宋体"/>
          <w:color w:val="auto"/>
          <w:spacing w:val="6"/>
          <w:sz w:val="24"/>
          <w:highlight w:val="none"/>
        </w:rPr>
        <w:t xml:space="preserve">         </w:t>
      </w:r>
    </w:p>
    <w:p w14:paraId="331F60AA">
      <w:pPr>
        <w:rPr>
          <w:rFonts w:ascii="宋体" w:hAnsi="宋体"/>
          <w:color w:val="auto"/>
          <w:sz w:val="24"/>
          <w:highlight w:val="none"/>
        </w:rPr>
      </w:pPr>
    </w:p>
    <w:p w14:paraId="40766091">
      <w:pPr>
        <w:rPr>
          <w:rFonts w:ascii="宋体" w:hAnsi="宋体"/>
          <w:color w:val="auto"/>
          <w:sz w:val="24"/>
          <w:highlight w:val="none"/>
        </w:rPr>
      </w:pPr>
    </w:p>
    <w:p w14:paraId="2F49F94B">
      <w:pPr>
        <w:spacing w:line="520" w:lineRule="exact"/>
        <w:jc w:val="center"/>
        <w:rPr>
          <w:rFonts w:ascii="仿宋_GB2312" w:hAnsi="仿宋_GB2312" w:eastAsia="仿宋_GB2312" w:cs="仿宋_GB2312"/>
          <w:color w:val="auto"/>
          <w:sz w:val="32"/>
          <w:szCs w:val="32"/>
          <w:highlight w:val="none"/>
        </w:rPr>
      </w:pPr>
      <w:r>
        <w:rPr>
          <w:rFonts w:hint="eastAsia" w:ascii="宋体" w:hAnsi="宋体"/>
          <w:color w:val="auto"/>
          <w:sz w:val="24"/>
          <w:highlight w:val="none"/>
        </w:rPr>
        <w:t>注：请根据自己的真实情况出具《中小企业声明函》。依法享受中小企业优惠政策的，采购人或者采购代理机构在公告成交结果时，同时公告其《中小企业声明函》，接受社会监督。</w:t>
      </w:r>
      <w:r>
        <w:rPr>
          <w:rFonts w:ascii="宋体" w:hAnsi="宋体"/>
          <w:color w:val="auto"/>
          <w:sz w:val="24"/>
          <w:highlight w:val="none"/>
        </w:rPr>
        <w:br w:type="page"/>
      </w:r>
      <w:r>
        <w:rPr>
          <w:rFonts w:hint="eastAsia" w:ascii="方正小标宋简体" w:hAnsi="方正小标宋简体" w:eastAsia="方正小标宋简体" w:cs="方正小标宋简体"/>
          <w:color w:val="auto"/>
          <w:sz w:val="44"/>
          <w:szCs w:val="44"/>
          <w:highlight w:val="none"/>
        </w:rPr>
        <w:t>残疾人福利性单位声明函</w:t>
      </w:r>
    </w:p>
    <w:p w14:paraId="0F52F987">
      <w:pPr>
        <w:spacing w:line="520" w:lineRule="exact"/>
        <w:rPr>
          <w:rFonts w:ascii="仿宋_GB2312" w:hAnsi="仿宋_GB2312" w:eastAsia="仿宋_GB2312" w:cs="仿宋_GB2312"/>
          <w:color w:val="auto"/>
          <w:sz w:val="32"/>
          <w:szCs w:val="32"/>
          <w:highlight w:val="none"/>
        </w:rPr>
      </w:pPr>
    </w:p>
    <w:p w14:paraId="46D7466D">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本单位郑重声明，根据《财政部 民政部 中国残疾人联合会关于促进残疾人就业政府采购政策的通知》（财库〔2017〕141号）的规定，本单位为符合条件的残疾人福利性单位，且本单位参加</w:t>
      </w:r>
      <w:r>
        <w:rPr>
          <w:rFonts w:hint="eastAsia" w:ascii="宋体" w:hAnsi="宋体" w:cs="仿宋_GB2312"/>
          <w:color w:val="auto"/>
          <w:sz w:val="24"/>
          <w:highlight w:val="none"/>
          <w:u w:val="single"/>
        </w:rPr>
        <w:t xml:space="preserve">       </w:t>
      </w:r>
      <w:r>
        <w:rPr>
          <w:rFonts w:hint="eastAsia" w:ascii="宋体" w:hAnsi="宋体" w:cs="仿宋_GB2312"/>
          <w:color w:val="auto"/>
          <w:sz w:val="24"/>
          <w:highlight w:val="none"/>
        </w:rPr>
        <w:t>单位的</w:t>
      </w:r>
      <w:r>
        <w:rPr>
          <w:rFonts w:hint="eastAsia" w:ascii="宋体" w:hAnsi="宋体" w:cs="仿宋_GB2312"/>
          <w:color w:val="auto"/>
          <w:sz w:val="24"/>
          <w:highlight w:val="none"/>
          <w:u w:val="single"/>
        </w:rPr>
        <w:t xml:space="preserve">        </w:t>
      </w:r>
      <w:r>
        <w:rPr>
          <w:rFonts w:hint="eastAsia" w:ascii="宋体" w:hAnsi="宋体" w:cs="仿宋_GB2312"/>
          <w:color w:val="auto"/>
          <w:sz w:val="24"/>
          <w:highlight w:val="none"/>
        </w:rPr>
        <w:t>项目采购活动提供本单位制造的货物（由本单位承担工程/提供服务），或者提供其他残疾人福利性单位制造的货物（不包括使用非残疾人福利性单位注册商标的货物）。</w:t>
      </w:r>
    </w:p>
    <w:p w14:paraId="12F24B49">
      <w:pPr>
        <w:spacing w:line="360" w:lineRule="auto"/>
        <w:ind w:firstLine="480" w:firstLineChars="200"/>
        <w:rPr>
          <w:rFonts w:ascii="宋体" w:hAnsi="宋体" w:cs="仿宋_GB2312"/>
          <w:color w:val="auto"/>
          <w:sz w:val="24"/>
          <w:highlight w:val="none"/>
        </w:rPr>
      </w:pPr>
      <w:r>
        <w:rPr>
          <w:rFonts w:hint="eastAsia" w:ascii="宋体" w:hAnsi="宋体" w:cs="仿宋_GB2312"/>
          <w:color w:val="auto"/>
          <w:sz w:val="24"/>
          <w:highlight w:val="none"/>
        </w:rPr>
        <w:t>本单位对上述声明的真实性负责。如有虚假，将依法承担相应责任。</w:t>
      </w:r>
    </w:p>
    <w:p w14:paraId="6F781C1F">
      <w:pPr>
        <w:spacing w:line="360" w:lineRule="auto"/>
        <w:rPr>
          <w:rFonts w:ascii="宋体" w:hAnsi="宋体" w:cs="仿宋_GB2312"/>
          <w:color w:val="auto"/>
          <w:sz w:val="24"/>
          <w:highlight w:val="none"/>
        </w:rPr>
      </w:pPr>
    </w:p>
    <w:p w14:paraId="6FF197A0">
      <w:pPr>
        <w:spacing w:line="360" w:lineRule="auto"/>
        <w:rPr>
          <w:rFonts w:ascii="宋体" w:hAnsi="宋体" w:cs="仿宋_GB2312"/>
          <w:color w:val="auto"/>
          <w:sz w:val="24"/>
          <w:highlight w:val="none"/>
        </w:rPr>
      </w:pPr>
    </w:p>
    <w:p w14:paraId="6F87C685">
      <w:pPr>
        <w:spacing w:line="360" w:lineRule="auto"/>
        <w:rPr>
          <w:rFonts w:ascii="宋体" w:hAnsi="宋体" w:cs="仿宋_GB2312"/>
          <w:color w:val="auto"/>
          <w:sz w:val="24"/>
          <w:highlight w:val="none"/>
        </w:rPr>
      </w:pPr>
    </w:p>
    <w:p w14:paraId="475F70EB">
      <w:pPr>
        <w:spacing w:line="360" w:lineRule="auto"/>
        <w:ind w:firstLine="2400" w:firstLineChars="1000"/>
        <w:rPr>
          <w:rFonts w:ascii="宋体" w:hAnsi="宋体" w:cs="仿宋_GB2312"/>
          <w:color w:val="auto"/>
          <w:sz w:val="24"/>
          <w:highlight w:val="none"/>
        </w:rPr>
      </w:pPr>
      <w:r>
        <w:rPr>
          <w:rFonts w:hint="eastAsia" w:ascii="宋体" w:hAnsi="宋体" w:cs="仿宋_GB2312"/>
          <w:color w:val="auto"/>
          <w:sz w:val="24"/>
          <w:highlight w:val="none"/>
        </w:rPr>
        <w:t>单位名称（盖章）：</w:t>
      </w:r>
    </w:p>
    <w:p w14:paraId="52D774E8">
      <w:pPr>
        <w:spacing w:line="360" w:lineRule="auto"/>
        <w:ind w:firstLine="3600" w:firstLineChars="1500"/>
        <w:rPr>
          <w:rFonts w:ascii="宋体" w:hAnsi="宋体" w:cs="仿宋_GB2312"/>
          <w:color w:val="auto"/>
          <w:sz w:val="24"/>
          <w:highlight w:val="none"/>
        </w:rPr>
      </w:pPr>
      <w:r>
        <w:rPr>
          <w:rFonts w:hint="eastAsia" w:ascii="宋体" w:hAnsi="宋体" w:cs="仿宋_GB2312"/>
          <w:color w:val="auto"/>
          <w:sz w:val="24"/>
          <w:highlight w:val="none"/>
        </w:rPr>
        <w:t>日  期：</w:t>
      </w:r>
    </w:p>
    <w:p w14:paraId="7E3EB1BF">
      <w:pPr>
        <w:spacing w:line="360" w:lineRule="auto"/>
        <w:rPr>
          <w:rFonts w:ascii="宋体" w:hAnsi="宋体" w:cs="仿宋_GB2312"/>
          <w:color w:val="auto"/>
          <w:sz w:val="24"/>
          <w:highlight w:val="none"/>
        </w:rPr>
      </w:pPr>
    </w:p>
    <w:p w14:paraId="4A66E80D">
      <w:pPr>
        <w:spacing w:line="360" w:lineRule="auto"/>
        <w:rPr>
          <w:rFonts w:ascii="宋体" w:hAnsi="宋体" w:cs="仿宋_GB2312"/>
          <w:color w:val="auto"/>
          <w:sz w:val="24"/>
          <w:highlight w:val="none"/>
        </w:rPr>
      </w:pPr>
    </w:p>
    <w:p w14:paraId="7531B956">
      <w:pPr>
        <w:spacing w:line="360" w:lineRule="auto"/>
        <w:rPr>
          <w:rFonts w:ascii="宋体" w:hAnsi="宋体" w:cs="仿宋_GB2312"/>
          <w:color w:val="auto"/>
          <w:sz w:val="24"/>
          <w:highlight w:val="none"/>
        </w:rPr>
      </w:pPr>
    </w:p>
    <w:p w14:paraId="7A672A8A">
      <w:pPr>
        <w:spacing w:line="360" w:lineRule="auto"/>
        <w:rPr>
          <w:rFonts w:hint="eastAsia" w:ascii="宋体" w:hAnsi="宋体" w:cs="仿宋_GB2312"/>
          <w:color w:val="auto"/>
          <w:sz w:val="24"/>
          <w:highlight w:val="none"/>
        </w:rPr>
      </w:pPr>
      <w:r>
        <w:rPr>
          <w:rFonts w:hint="eastAsia" w:ascii="宋体" w:hAnsi="宋体" w:cs="仿宋_GB2312"/>
          <w:color w:val="auto"/>
          <w:sz w:val="24"/>
          <w:highlight w:val="none"/>
        </w:rPr>
        <w:t>注：请根据自己的真实情况出具《残疾人福利性单位声明函》。依法享受中小企业优惠政策的，采购人或者采购代理机构在公告</w:t>
      </w:r>
      <w:r>
        <w:rPr>
          <w:rFonts w:hint="eastAsia" w:ascii="宋体" w:hAnsi="宋体" w:cs="仿宋_GB2312"/>
          <w:color w:val="auto"/>
          <w:sz w:val="24"/>
          <w:highlight w:val="none"/>
          <w:lang w:val="en-US" w:eastAsia="zh-CN"/>
        </w:rPr>
        <w:t>成交</w:t>
      </w:r>
      <w:r>
        <w:rPr>
          <w:rFonts w:hint="eastAsia" w:ascii="宋体" w:hAnsi="宋体" w:cs="仿宋_GB2312"/>
          <w:color w:val="auto"/>
          <w:sz w:val="24"/>
          <w:highlight w:val="none"/>
        </w:rPr>
        <w:t>结果时，同时公告其《残疾人福利性单位声明函》，接受社会监督；根据《关于政府采购支持监狱企业发展有关问题的通知》（财库[2014]68号）的规定，</w:t>
      </w:r>
      <w:r>
        <w:rPr>
          <w:rFonts w:hint="eastAsia" w:ascii="宋体" w:hAnsi="宋体" w:cs="仿宋_GB2312"/>
          <w:color w:val="auto"/>
          <w:sz w:val="24"/>
          <w:highlight w:val="none"/>
          <w:lang w:val="en-US" w:eastAsia="zh-CN"/>
        </w:rPr>
        <w:t>供应商</w:t>
      </w:r>
      <w:r>
        <w:rPr>
          <w:rFonts w:hint="eastAsia" w:ascii="宋体" w:hAnsi="宋体" w:cs="仿宋_GB2312"/>
          <w:color w:val="auto"/>
          <w:sz w:val="24"/>
          <w:highlight w:val="none"/>
        </w:rPr>
        <w:t>提供由省级以上监狱管理局、戒毒管理局（含新疆生产建设兵团）出具的属于监狱企业证明文件的，视同为小型和微型企业。</w:t>
      </w:r>
    </w:p>
    <w:p w14:paraId="0A86F032">
      <w:pPr>
        <w:spacing w:line="360" w:lineRule="auto"/>
        <w:rPr>
          <w:rFonts w:ascii="宋体" w:hAnsi="宋体" w:cs="仿宋_GB2312"/>
          <w:color w:val="auto"/>
          <w:sz w:val="24"/>
          <w:highlight w:val="none"/>
        </w:rPr>
      </w:pPr>
      <w:r>
        <w:rPr>
          <w:rFonts w:hint="eastAsia" w:ascii="宋体" w:hAnsi="宋体" w:cs="仿宋_GB2312"/>
          <w:color w:val="auto"/>
          <w:sz w:val="24"/>
          <w:highlight w:val="none"/>
        </w:rPr>
        <w:t>。</w:t>
      </w:r>
    </w:p>
    <w:p w14:paraId="27742AAB">
      <w:pPr>
        <w:spacing w:line="360" w:lineRule="auto"/>
        <w:rPr>
          <w:rFonts w:ascii="宋体" w:hAnsi="宋体" w:cs="仿宋_GB2312"/>
          <w:color w:val="auto"/>
          <w:sz w:val="24"/>
          <w:highlight w:val="none"/>
        </w:rPr>
      </w:pPr>
      <w:r>
        <w:rPr>
          <w:rFonts w:ascii="宋体" w:hAnsi="宋体" w:cs="仿宋_GB2312"/>
          <w:color w:val="auto"/>
          <w:sz w:val="24"/>
          <w:highlight w:val="none"/>
        </w:rPr>
        <w:t xml:space="preserve"> </w:t>
      </w:r>
    </w:p>
    <w:p w14:paraId="20765B40">
      <w:pPr>
        <w:spacing w:line="360" w:lineRule="auto"/>
        <w:jc w:val="center"/>
        <w:rPr>
          <w:rFonts w:ascii="宋体" w:hAnsi="宋体"/>
          <w:b/>
          <w:bCs/>
          <w:color w:val="auto"/>
          <w:sz w:val="32"/>
          <w:szCs w:val="32"/>
          <w:highlight w:val="none"/>
        </w:rPr>
      </w:pPr>
      <w:r>
        <w:rPr>
          <w:rFonts w:ascii="宋体" w:hAnsi="宋体" w:cs="仿宋_GB2312"/>
          <w:color w:val="auto"/>
          <w:sz w:val="24"/>
          <w:highlight w:val="none"/>
        </w:rPr>
        <w:br w:type="page"/>
      </w:r>
      <w:r>
        <w:rPr>
          <w:rFonts w:hint="eastAsia" w:ascii="宋体" w:hAnsi="宋体"/>
          <w:b/>
          <w:bCs/>
          <w:color w:val="auto"/>
          <w:sz w:val="32"/>
          <w:szCs w:val="32"/>
          <w:highlight w:val="none"/>
        </w:rPr>
        <w:t>质疑函（格式）</w:t>
      </w:r>
    </w:p>
    <w:p w14:paraId="32DD50B1">
      <w:pPr>
        <w:pStyle w:val="18"/>
        <w:snapToGrid w:val="0"/>
        <w:spacing w:line="360" w:lineRule="auto"/>
        <w:ind w:firstLine="482" w:firstLineChars="200"/>
        <w:rPr>
          <w:rFonts w:hAnsi="宋体"/>
          <w:b/>
          <w:bCs/>
          <w:color w:val="auto"/>
          <w:sz w:val="24"/>
          <w:szCs w:val="24"/>
          <w:highlight w:val="none"/>
        </w:rPr>
      </w:pPr>
      <w:r>
        <w:rPr>
          <w:rFonts w:hint="eastAsia" w:hAnsi="宋体"/>
          <w:b/>
          <w:bCs/>
          <w:color w:val="auto"/>
          <w:sz w:val="24"/>
          <w:szCs w:val="24"/>
          <w:highlight w:val="none"/>
        </w:rPr>
        <w:t>一、质疑供应商基本信息：</w:t>
      </w:r>
    </w:p>
    <w:p w14:paraId="76186B4E">
      <w:pPr>
        <w:pStyle w:val="18"/>
        <w:snapToGrid w:val="0"/>
        <w:spacing w:line="360" w:lineRule="auto"/>
        <w:ind w:firstLine="480" w:firstLineChars="200"/>
        <w:rPr>
          <w:rFonts w:hAnsi="宋体"/>
          <w:bCs/>
          <w:color w:val="auto"/>
          <w:sz w:val="24"/>
          <w:szCs w:val="24"/>
          <w:highlight w:val="none"/>
          <w:u w:val="single"/>
        </w:rPr>
      </w:pPr>
      <w:r>
        <w:rPr>
          <w:rFonts w:hint="eastAsia" w:hAnsi="宋体"/>
          <w:bCs/>
          <w:color w:val="auto"/>
          <w:sz w:val="24"/>
          <w:szCs w:val="24"/>
          <w:highlight w:val="none"/>
        </w:rPr>
        <w:t>质疑供应商：</w:t>
      </w:r>
      <w:r>
        <w:rPr>
          <w:rFonts w:hint="eastAsia" w:hAnsi="宋体"/>
          <w:bCs/>
          <w:color w:val="auto"/>
          <w:sz w:val="24"/>
          <w:szCs w:val="24"/>
          <w:highlight w:val="none"/>
          <w:u w:val="single"/>
        </w:rPr>
        <w:t xml:space="preserve">                                       </w:t>
      </w:r>
      <w:r>
        <w:rPr>
          <w:rFonts w:hint="eastAsia" w:hAnsi="宋体"/>
          <w:bCs/>
          <w:color w:val="auto"/>
          <w:sz w:val="24"/>
          <w:szCs w:val="24"/>
          <w:highlight w:val="none"/>
        </w:rPr>
        <w:t xml:space="preserve">                 </w:t>
      </w:r>
    </w:p>
    <w:p w14:paraId="18ED7F3C">
      <w:pPr>
        <w:pStyle w:val="18"/>
        <w:snapToGrid w:val="0"/>
        <w:spacing w:line="360" w:lineRule="auto"/>
        <w:ind w:firstLine="480" w:firstLineChars="200"/>
        <w:rPr>
          <w:rFonts w:hAnsi="宋体"/>
          <w:bCs/>
          <w:color w:val="auto"/>
          <w:sz w:val="24"/>
          <w:szCs w:val="24"/>
          <w:highlight w:val="none"/>
        </w:rPr>
      </w:pPr>
      <w:r>
        <w:rPr>
          <w:rFonts w:hAnsi="宋体"/>
          <w:bCs/>
          <w:color w:val="auto"/>
          <w:sz w:val="24"/>
          <w:szCs w:val="24"/>
          <w:highlight w:val="none"/>
        </w:rPr>
        <w:t>地址</w:t>
      </w:r>
      <w:r>
        <w:rPr>
          <w:rFonts w:hint="eastAsia" w:hAnsi="宋体"/>
          <w:bCs/>
          <w:color w:val="auto"/>
          <w:sz w:val="24"/>
          <w:szCs w:val="24"/>
          <w:highlight w:val="none"/>
        </w:rPr>
        <w:t>：</w:t>
      </w:r>
      <w:r>
        <w:rPr>
          <w:rFonts w:hint="eastAsia" w:hAnsi="宋体"/>
          <w:bCs/>
          <w:color w:val="auto"/>
          <w:sz w:val="24"/>
          <w:szCs w:val="24"/>
          <w:highlight w:val="none"/>
          <w:u w:val="single"/>
        </w:rPr>
        <w:t xml:space="preserve">                                          </w:t>
      </w:r>
      <w:r>
        <w:rPr>
          <w:rFonts w:hAnsi="宋体"/>
          <w:bCs/>
          <w:color w:val="auto"/>
          <w:sz w:val="24"/>
          <w:szCs w:val="24"/>
          <w:highlight w:val="none"/>
        </w:rPr>
        <w:t>邮编</w:t>
      </w:r>
      <w:r>
        <w:rPr>
          <w:rFonts w:hint="eastAsia" w:hAnsi="宋体"/>
          <w:bCs/>
          <w:color w:val="auto"/>
          <w:sz w:val="24"/>
          <w:szCs w:val="24"/>
          <w:highlight w:val="none"/>
        </w:rPr>
        <w:t>：</w:t>
      </w:r>
      <w:r>
        <w:rPr>
          <w:rFonts w:hint="eastAsia" w:hAnsi="宋体"/>
          <w:bCs/>
          <w:color w:val="auto"/>
          <w:sz w:val="24"/>
          <w:szCs w:val="24"/>
          <w:highlight w:val="none"/>
          <w:u w:val="single"/>
        </w:rPr>
        <w:t xml:space="preserve">                  </w:t>
      </w:r>
      <w:r>
        <w:rPr>
          <w:rFonts w:hint="eastAsia" w:hAnsi="宋体"/>
          <w:bCs/>
          <w:color w:val="auto"/>
          <w:sz w:val="24"/>
          <w:szCs w:val="24"/>
          <w:highlight w:val="none"/>
        </w:rPr>
        <w:t xml:space="preserve">                 </w:t>
      </w:r>
    </w:p>
    <w:p w14:paraId="53A0E41A">
      <w:pPr>
        <w:pStyle w:val="18"/>
        <w:snapToGrid w:val="0"/>
        <w:spacing w:line="360" w:lineRule="auto"/>
        <w:ind w:firstLine="480" w:firstLineChars="200"/>
        <w:rPr>
          <w:rFonts w:hAnsi="宋体"/>
          <w:bCs/>
          <w:color w:val="auto"/>
          <w:sz w:val="24"/>
          <w:szCs w:val="24"/>
          <w:highlight w:val="none"/>
        </w:rPr>
      </w:pPr>
      <w:r>
        <w:rPr>
          <w:rFonts w:hAnsi="宋体"/>
          <w:bCs/>
          <w:color w:val="auto"/>
          <w:sz w:val="24"/>
          <w:szCs w:val="24"/>
          <w:highlight w:val="none"/>
        </w:rPr>
        <w:t>联系人</w:t>
      </w:r>
      <w:r>
        <w:rPr>
          <w:rFonts w:hint="eastAsia" w:hAnsi="宋体"/>
          <w:bCs/>
          <w:color w:val="auto"/>
          <w:sz w:val="24"/>
          <w:szCs w:val="24"/>
          <w:highlight w:val="none"/>
        </w:rPr>
        <w:t>：</w:t>
      </w:r>
      <w:r>
        <w:rPr>
          <w:rFonts w:hint="eastAsia" w:hAnsi="宋体"/>
          <w:bCs/>
          <w:color w:val="auto"/>
          <w:sz w:val="24"/>
          <w:szCs w:val="24"/>
          <w:highlight w:val="none"/>
          <w:u w:val="single"/>
        </w:rPr>
        <w:t xml:space="preserve">                     </w:t>
      </w:r>
      <w:r>
        <w:rPr>
          <w:rFonts w:hAnsi="宋体"/>
          <w:bCs/>
          <w:color w:val="auto"/>
          <w:sz w:val="24"/>
          <w:szCs w:val="24"/>
          <w:highlight w:val="none"/>
        </w:rPr>
        <w:t>联系电话</w:t>
      </w:r>
      <w:r>
        <w:rPr>
          <w:rFonts w:hint="eastAsia" w:hAnsi="宋体"/>
          <w:bCs/>
          <w:color w:val="auto"/>
          <w:sz w:val="24"/>
          <w:szCs w:val="24"/>
          <w:highlight w:val="none"/>
        </w:rPr>
        <w:t>：</w:t>
      </w:r>
      <w:r>
        <w:rPr>
          <w:rFonts w:hint="eastAsia" w:hAnsi="宋体"/>
          <w:bCs/>
          <w:color w:val="auto"/>
          <w:sz w:val="24"/>
          <w:szCs w:val="24"/>
          <w:highlight w:val="none"/>
          <w:u w:val="single"/>
        </w:rPr>
        <w:t xml:space="preserve">                 </w:t>
      </w:r>
    </w:p>
    <w:p w14:paraId="3F82C2C3">
      <w:pPr>
        <w:pStyle w:val="18"/>
        <w:snapToGrid w:val="0"/>
        <w:spacing w:line="360" w:lineRule="auto"/>
        <w:ind w:firstLine="480" w:firstLineChars="200"/>
        <w:rPr>
          <w:rFonts w:hAnsi="宋体"/>
          <w:bCs/>
          <w:color w:val="auto"/>
          <w:sz w:val="24"/>
          <w:szCs w:val="24"/>
          <w:highlight w:val="none"/>
        </w:rPr>
      </w:pPr>
      <w:r>
        <w:rPr>
          <w:rFonts w:hint="eastAsia" w:hAnsi="宋体"/>
          <w:bCs/>
          <w:color w:val="auto"/>
          <w:sz w:val="24"/>
          <w:szCs w:val="24"/>
          <w:highlight w:val="none"/>
        </w:rPr>
        <w:t>授权代表：</w:t>
      </w:r>
      <w:r>
        <w:rPr>
          <w:rFonts w:hint="eastAsia" w:hAnsi="宋体"/>
          <w:bCs/>
          <w:color w:val="auto"/>
          <w:sz w:val="24"/>
          <w:szCs w:val="24"/>
          <w:highlight w:val="none"/>
          <w:u w:val="single"/>
        </w:rPr>
        <w:t xml:space="preserve">                      </w:t>
      </w:r>
    </w:p>
    <w:p w14:paraId="438F0167">
      <w:pPr>
        <w:pStyle w:val="18"/>
        <w:snapToGrid w:val="0"/>
        <w:spacing w:line="360" w:lineRule="auto"/>
        <w:ind w:firstLine="480" w:firstLineChars="200"/>
        <w:rPr>
          <w:rFonts w:hAnsi="宋体"/>
          <w:bCs/>
          <w:color w:val="auto"/>
          <w:sz w:val="24"/>
          <w:szCs w:val="24"/>
          <w:highlight w:val="none"/>
          <w:u w:val="single"/>
        </w:rPr>
      </w:pPr>
      <w:r>
        <w:rPr>
          <w:rFonts w:hAnsi="宋体"/>
          <w:bCs/>
          <w:color w:val="auto"/>
          <w:sz w:val="24"/>
          <w:szCs w:val="24"/>
          <w:highlight w:val="none"/>
        </w:rPr>
        <w:t>联系</w:t>
      </w:r>
      <w:r>
        <w:rPr>
          <w:rFonts w:hint="eastAsia" w:hAnsi="宋体"/>
          <w:bCs/>
          <w:color w:val="auto"/>
          <w:sz w:val="24"/>
          <w:szCs w:val="24"/>
          <w:highlight w:val="none"/>
        </w:rPr>
        <w:t>电话：</w:t>
      </w:r>
      <w:r>
        <w:rPr>
          <w:rFonts w:hint="eastAsia" w:hAnsi="宋体"/>
          <w:bCs/>
          <w:color w:val="auto"/>
          <w:sz w:val="24"/>
          <w:szCs w:val="24"/>
          <w:highlight w:val="none"/>
          <w:u w:val="single"/>
        </w:rPr>
        <w:t xml:space="preserve">                      </w:t>
      </w:r>
    </w:p>
    <w:p w14:paraId="4A51898F">
      <w:pPr>
        <w:pStyle w:val="18"/>
        <w:snapToGrid w:val="0"/>
        <w:spacing w:line="360" w:lineRule="auto"/>
        <w:ind w:firstLine="480" w:firstLineChars="200"/>
        <w:rPr>
          <w:rFonts w:hAnsi="宋体"/>
          <w:bCs/>
          <w:color w:val="auto"/>
          <w:sz w:val="24"/>
          <w:szCs w:val="24"/>
          <w:highlight w:val="none"/>
        </w:rPr>
      </w:pPr>
      <w:r>
        <w:rPr>
          <w:rFonts w:hAnsi="宋体"/>
          <w:bCs/>
          <w:color w:val="auto"/>
          <w:sz w:val="24"/>
          <w:szCs w:val="24"/>
          <w:highlight w:val="none"/>
        </w:rPr>
        <w:t>地址</w:t>
      </w:r>
      <w:r>
        <w:rPr>
          <w:rFonts w:hint="eastAsia" w:hAnsi="宋体"/>
          <w:bCs/>
          <w:color w:val="auto"/>
          <w:sz w:val="24"/>
          <w:szCs w:val="24"/>
          <w:highlight w:val="none"/>
        </w:rPr>
        <w:t>：</w:t>
      </w:r>
      <w:r>
        <w:rPr>
          <w:rFonts w:hint="eastAsia" w:hAnsi="宋体"/>
          <w:bCs/>
          <w:color w:val="auto"/>
          <w:sz w:val="24"/>
          <w:szCs w:val="24"/>
          <w:highlight w:val="none"/>
          <w:u w:val="single"/>
        </w:rPr>
        <w:t xml:space="preserve">                 </w:t>
      </w:r>
      <w:r>
        <w:rPr>
          <w:rFonts w:hAnsi="宋体"/>
          <w:bCs/>
          <w:color w:val="auto"/>
          <w:sz w:val="24"/>
          <w:szCs w:val="24"/>
          <w:highlight w:val="none"/>
        </w:rPr>
        <w:t>邮编</w:t>
      </w:r>
      <w:r>
        <w:rPr>
          <w:rFonts w:hint="eastAsia" w:hAnsi="宋体"/>
          <w:bCs/>
          <w:color w:val="auto"/>
          <w:sz w:val="24"/>
          <w:szCs w:val="24"/>
          <w:highlight w:val="none"/>
        </w:rPr>
        <w:t>：</w:t>
      </w:r>
      <w:r>
        <w:rPr>
          <w:rFonts w:hint="eastAsia" w:hAnsi="宋体"/>
          <w:bCs/>
          <w:color w:val="auto"/>
          <w:sz w:val="24"/>
          <w:szCs w:val="24"/>
          <w:highlight w:val="none"/>
          <w:u w:val="single"/>
        </w:rPr>
        <w:t xml:space="preserve">                  </w:t>
      </w:r>
      <w:r>
        <w:rPr>
          <w:rFonts w:hint="eastAsia" w:hAnsi="宋体"/>
          <w:bCs/>
          <w:color w:val="auto"/>
          <w:sz w:val="24"/>
          <w:szCs w:val="24"/>
          <w:highlight w:val="none"/>
        </w:rPr>
        <w:t xml:space="preserve">     </w:t>
      </w:r>
    </w:p>
    <w:p w14:paraId="55197803">
      <w:pPr>
        <w:pStyle w:val="18"/>
        <w:snapToGrid w:val="0"/>
        <w:spacing w:line="360" w:lineRule="auto"/>
        <w:ind w:firstLine="482" w:firstLineChars="200"/>
        <w:rPr>
          <w:rFonts w:hAnsi="宋体"/>
          <w:b/>
          <w:bCs/>
          <w:color w:val="auto"/>
          <w:sz w:val="24"/>
          <w:szCs w:val="24"/>
          <w:highlight w:val="none"/>
        </w:rPr>
      </w:pPr>
      <w:r>
        <w:rPr>
          <w:rFonts w:hint="eastAsia" w:hAnsi="宋体"/>
          <w:b/>
          <w:bCs/>
          <w:color w:val="auto"/>
          <w:sz w:val="24"/>
          <w:szCs w:val="24"/>
          <w:highlight w:val="none"/>
        </w:rPr>
        <w:t>二、质疑项目基本情况：</w:t>
      </w:r>
    </w:p>
    <w:p w14:paraId="42B6880D">
      <w:pPr>
        <w:pStyle w:val="18"/>
        <w:spacing w:line="360" w:lineRule="auto"/>
        <w:ind w:left="25" w:leftChars="12" w:firstLine="472" w:firstLineChars="197"/>
        <w:rPr>
          <w:rFonts w:hAnsi="宋体"/>
          <w:color w:val="auto"/>
          <w:sz w:val="24"/>
          <w:szCs w:val="24"/>
          <w:highlight w:val="none"/>
        </w:rPr>
      </w:pPr>
      <w:r>
        <w:rPr>
          <w:rFonts w:hint="eastAsia" w:hAnsi="宋体"/>
          <w:bCs/>
          <w:color w:val="auto"/>
          <w:sz w:val="24"/>
          <w:szCs w:val="24"/>
          <w:highlight w:val="none"/>
        </w:rPr>
        <w:t>质疑</w:t>
      </w:r>
      <w:r>
        <w:rPr>
          <w:rFonts w:hint="eastAsia" w:hAnsi="宋体"/>
          <w:color w:val="auto"/>
          <w:sz w:val="24"/>
          <w:szCs w:val="24"/>
          <w:highlight w:val="none"/>
        </w:rPr>
        <w:t>项目的名称：</w:t>
      </w:r>
      <w:r>
        <w:rPr>
          <w:rFonts w:hint="eastAsia" w:hAnsi="宋体"/>
          <w:bCs/>
          <w:color w:val="auto"/>
          <w:sz w:val="24"/>
          <w:szCs w:val="24"/>
          <w:highlight w:val="none"/>
          <w:u w:val="single"/>
        </w:rPr>
        <w:t xml:space="preserve">                                     </w:t>
      </w:r>
    </w:p>
    <w:p w14:paraId="64E228D8">
      <w:pPr>
        <w:pStyle w:val="18"/>
        <w:spacing w:line="360" w:lineRule="auto"/>
        <w:ind w:left="25" w:leftChars="12" w:firstLine="472" w:firstLineChars="197"/>
        <w:rPr>
          <w:rFonts w:hAnsi="宋体"/>
          <w:color w:val="auto"/>
          <w:sz w:val="24"/>
          <w:szCs w:val="24"/>
          <w:highlight w:val="none"/>
        </w:rPr>
      </w:pPr>
      <w:r>
        <w:rPr>
          <w:rFonts w:hint="eastAsia" w:hAnsi="宋体"/>
          <w:bCs/>
          <w:color w:val="auto"/>
          <w:sz w:val="24"/>
          <w:szCs w:val="24"/>
          <w:highlight w:val="none"/>
        </w:rPr>
        <w:t>质疑</w:t>
      </w:r>
      <w:r>
        <w:rPr>
          <w:rFonts w:hint="eastAsia" w:hAnsi="宋体"/>
          <w:color w:val="auto"/>
          <w:sz w:val="24"/>
          <w:szCs w:val="24"/>
          <w:highlight w:val="none"/>
        </w:rPr>
        <w:t>项目的编号：</w:t>
      </w:r>
      <w:r>
        <w:rPr>
          <w:rFonts w:hint="eastAsia" w:hAnsi="宋体"/>
          <w:bCs/>
          <w:color w:val="auto"/>
          <w:sz w:val="24"/>
          <w:szCs w:val="24"/>
          <w:highlight w:val="none"/>
          <w:u w:val="single"/>
        </w:rPr>
        <w:t xml:space="preserve">                                     </w:t>
      </w:r>
    </w:p>
    <w:p w14:paraId="4E55C128">
      <w:pPr>
        <w:pStyle w:val="18"/>
        <w:spacing w:line="360" w:lineRule="auto"/>
        <w:ind w:left="25" w:leftChars="12" w:firstLine="472" w:firstLineChars="197"/>
        <w:rPr>
          <w:rFonts w:hAnsi="宋体"/>
          <w:color w:val="auto"/>
          <w:sz w:val="24"/>
          <w:szCs w:val="24"/>
          <w:highlight w:val="none"/>
        </w:rPr>
      </w:pPr>
      <w:r>
        <w:rPr>
          <w:rFonts w:hint="eastAsia" w:hAnsi="宋体"/>
          <w:color w:val="auto"/>
          <w:sz w:val="24"/>
          <w:szCs w:val="24"/>
          <w:highlight w:val="none"/>
        </w:rPr>
        <w:t>采购人名称：</w:t>
      </w:r>
      <w:r>
        <w:rPr>
          <w:rFonts w:hint="eastAsia" w:hAnsi="宋体"/>
          <w:bCs/>
          <w:color w:val="auto"/>
          <w:sz w:val="24"/>
          <w:szCs w:val="24"/>
          <w:highlight w:val="none"/>
          <w:u w:val="single"/>
        </w:rPr>
        <w:t xml:space="preserve">                                         </w:t>
      </w:r>
    </w:p>
    <w:p w14:paraId="62726716">
      <w:pPr>
        <w:pStyle w:val="18"/>
        <w:spacing w:line="360" w:lineRule="auto"/>
        <w:ind w:left="25" w:leftChars="12" w:firstLine="472" w:firstLineChars="197"/>
        <w:rPr>
          <w:rFonts w:hAnsi="宋体"/>
          <w:color w:val="auto"/>
          <w:sz w:val="24"/>
          <w:szCs w:val="24"/>
          <w:highlight w:val="none"/>
        </w:rPr>
      </w:pPr>
      <w:r>
        <w:rPr>
          <w:rFonts w:hint="eastAsia" w:hAnsi="宋体"/>
          <w:color w:val="auto"/>
          <w:sz w:val="24"/>
          <w:szCs w:val="24"/>
          <w:highlight w:val="none"/>
        </w:rPr>
        <w:t>质疑事项：</w:t>
      </w:r>
    </w:p>
    <w:p w14:paraId="65072346">
      <w:pPr>
        <w:pStyle w:val="18"/>
        <w:spacing w:line="360" w:lineRule="auto"/>
        <w:ind w:left="25" w:leftChars="12" w:firstLine="352" w:firstLineChars="147"/>
        <w:rPr>
          <w:rFonts w:hAnsi="宋体"/>
          <w:color w:val="auto"/>
          <w:sz w:val="24"/>
          <w:szCs w:val="24"/>
          <w:highlight w:val="none"/>
        </w:rPr>
      </w:pPr>
      <w:r>
        <w:rPr>
          <w:rFonts w:hint="eastAsia" w:hAnsi="宋体"/>
          <w:color w:val="auto"/>
          <w:sz w:val="24"/>
          <w:szCs w:val="24"/>
          <w:highlight w:val="none"/>
        </w:rPr>
        <w:t>□采购文件   采购文件获取日期：</w:t>
      </w:r>
      <w:r>
        <w:rPr>
          <w:rFonts w:hint="eastAsia" w:hAnsi="宋体"/>
          <w:bCs/>
          <w:color w:val="auto"/>
          <w:sz w:val="24"/>
          <w:szCs w:val="24"/>
          <w:highlight w:val="none"/>
          <w:u w:val="single"/>
        </w:rPr>
        <w:t xml:space="preserve">                                   </w:t>
      </w:r>
    </w:p>
    <w:p w14:paraId="59596795">
      <w:pPr>
        <w:pStyle w:val="18"/>
        <w:spacing w:line="360" w:lineRule="auto"/>
        <w:ind w:left="25" w:leftChars="12" w:firstLine="352" w:firstLineChars="147"/>
        <w:rPr>
          <w:rFonts w:hAnsi="宋体"/>
          <w:color w:val="auto"/>
          <w:sz w:val="24"/>
          <w:szCs w:val="24"/>
          <w:highlight w:val="none"/>
        </w:rPr>
      </w:pPr>
      <w:r>
        <w:rPr>
          <w:rFonts w:hint="eastAsia" w:hAnsi="宋体"/>
          <w:color w:val="auto"/>
          <w:sz w:val="24"/>
          <w:szCs w:val="24"/>
          <w:highlight w:val="none"/>
        </w:rPr>
        <w:t xml:space="preserve">□采购过程   </w:t>
      </w:r>
    </w:p>
    <w:p w14:paraId="599A207C">
      <w:pPr>
        <w:pStyle w:val="18"/>
        <w:spacing w:line="360" w:lineRule="auto"/>
        <w:ind w:left="25" w:leftChars="12" w:firstLine="352" w:firstLineChars="147"/>
        <w:rPr>
          <w:rFonts w:hAnsi="宋体"/>
          <w:bCs/>
          <w:color w:val="auto"/>
          <w:sz w:val="24"/>
          <w:szCs w:val="24"/>
          <w:highlight w:val="none"/>
          <w:u w:val="single"/>
        </w:rPr>
      </w:pPr>
      <w:r>
        <w:rPr>
          <w:rFonts w:hint="eastAsia" w:hAnsi="宋体"/>
          <w:color w:val="auto"/>
          <w:sz w:val="24"/>
          <w:szCs w:val="24"/>
          <w:highlight w:val="none"/>
        </w:rPr>
        <w:t xml:space="preserve">□成交结果   </w:t>
      </w:r>
    </w:p>
    <w:p w14:paraId="090433B7">
      <w:pPr>
        <w:pStyle w:val="18"/>
        <w:spacing w:line="360" w:lineRule="auto"/>
        <w:ind w:left="25" w:leftChars="12" w:firstLine="472" w:firstLineChars="196"/>
        <w:rPr>
          <w:rFonts w:hAnsi="宋体"/>
          <w:b/>
          <w:color w:val="auto"/>
          <w:sz w:val="24"/>
          <w:szCs w:val="24"/>
          <w:highlight w:val="none"/>
        </w:rPr>
      </w:pPr>
      <w:r>
        <w:rPr>
          <w:rFonts w:hint="eastAsia" w:hAnsi="宋体"/>
          <w:b/>
          <w:color w:val="auto"/>
          <w:sz w:val="24"/>
          <w:szCs w:val="24"/>
          <w:highlight w:val="none"/>
        </w:rPr>
        <w:t>三、质疑事项具体内容</w:t>
      </w:r>
    </w:p>
    <w:p w14:paraId="38542C35">
      <w:pPr>
        <w:pStyle w:val="18"/>
        <w:spacing w:line="360" w:lineRule="auto"/>
        <w:ind w:left="25" w:leftChars="12" w:firstLine="472" w:firstLineChars="197"/>
        <w:rPr>
          <w:rFonts w:hAnsi="宋体"/>
          <w:color w:val="auto"/>
          <w:sz w:val="24"/>
          <w:szCs w:val="24"/>
          <w:highlight w:val="none"/>
        </w:rPr>
      </w:pPr>
      <w:r>
        <w:rPr>
          <w:rFonts w:hint="eastAsia" w:hAnsi="宋体"/>
          <w:color w:val="auto"/>
          <w:sz w:val="24"/>
          <w:szCs w:val="24"/>
          <w:highlight w:val="none"/>
        </w:rPr>
        <w:t>质疑事项1：</w:t>
      </w:r>
      <w:r>
        <w:rPr>
          <w:rFonts w:hint="eastAsia" w:hAnsi="宋体"/>
          <w:bCs/>
          <w:color w:val="auto"/>
          <w:sz w:val="24"/>
          <w:szCs w:val="24"/>
          <w:highlight w:val="none"/>
          <w:u w:val="single"/>
        </w:rPr>
        <w:t xml:space="preserve">                                                                    </w:t>
      </w:r>
    </w:p>
    <w:p w14:paraId="1CB3F299">
      <w:pPr>
        <w:pStyle w:val="18"/>
        <w:spacing w:line="360" w:lineRule="auto"/>
        <w:ind w:left="25" w:leftChars="12" w:firstLine="472" w:firstLineChars="197"/>
        <w:rPr>
          <w:rFonts w:hAnsi="宋体"/>
          <w:color w:val="auto"/>
          <w:sz w:val="24"/>
          <w:szCs w:val="24"/>
          <w:highlight w:val="none"/>
        </w:rPr>
      </w:pPr>
      <w:r>
        <w:rPr>
          <w:rFonts w:hint="eastAsia" w:hAnsi="宋体"/>
          <w:color w:val="auto"/>
          <w:sz w:val="24"/>
          <w:szCs w:val="24"/>
          <w:highlight w:val="none"/>
        </w:rPr>
        <w:t>事实依据：</w:t>
      </w:r>
      <w:r>
        <w:rPr>
          <w:rFonts w:hint="eastAsia" w:hAnsi="宋体"/>
          <w:bCs/>
          <w:color w:val="auto"/>
          <w:sz w:val="24"/>
          <w:szCs w:val="24"/>
          <w:highlight w:val="none"/>
          <w:u w:val="single"/>
        </w:rPr>
        <w:t xml:space="preserve">                                                                      </w:t>
      </w:r>
    </w:p>
    <w:p w14:paraId="42576108">
      <w:pPr>
        <w:pStyle w:val="18"/>
        <w:spacing w:line="360" w:lineRule="auto"/>
        <w:ind w:left="25" w:leftChars="12" w:firstLine="472" w:firstLineChars="197"/>
        <w:rPr>
          <w:rFonts w:hAnsi="宋体"/>
          <w:color w:val="auto"/>
          <w:sz w:val="24"/>
          <w:szCs w:val="24"/>
          <w:highlight w:val="none"/>
        </w:rPr>
      </w:pPr>
      <w:r>
        <w:rPr>
          <w:rFonts w:hint="eastAsia" w:hAnsi="宋体"/>
          <w:color w:val="auto"/>
          <w:sz w:val="24"/>
          <w:szCs w:val="24"/>
          <w:highlight w:val="none"/>
        </w:rPr>
        <w:t>法律依据：</w:t>
      </w:r>
      <w:r>
        <w:rPr>
          <w:rFonts w:hint="eastAsia" w:hAnsi="宋体"/>
          <w:color w:val="auto"/>
          <w:sz w:val="24"/>
          <w:szCs w:val="24"/>
          <w:highlight w:val="none"/>
          <w:u w:val="single"/>
        </w:rPr>
        <w:t xml:space="preserve">                                                        </w:t>
      </w:r>
      <w:r>
        <w:rPr>
          <w:rFonts w:hint="eastAsia" w:hAnsi="宋体"/>
          <w:bCs/>
          <w:color w:val="auto"/>
          <w:sz w:val="24"/>
          <w:szCs w:val="24"/>
          <w:highlight w:val="none"/>
          <w:u w:val="single"/>
        </w:rPr>
        <w:t xml:space="preserve">               </w:t>
      </w:r>
    </w:p>
    <w:p w14:paraId="1D9C1849">
      <w:pPr>
        <w:pStyle w:val="18"/>
        <w:spacing w:line="360" w:lineRule="auto"/>
        <w:ind w:left="25" w:leftChars="12" w:firstLine="472" w:firstLineChars="197"/>
        <w:rPr>
          <w:rFonts w:hAnsi="宋体"/>
          <w:color w:val="auto"/>
          <w:sz w:val="24"/>
          <w:szCs w:val="24"/>
          <w:highlight w:val="none"/>
        </w:rPr>
      </w:pPr>
      <w:r>
        <w:rPr>
          <w:rFonts w:hint="eastAsia" w:hAnsi="宋体"/>
          <w:color w:val="auto"/>
          <w:sz w:val="24"/>
          <w:szCs w:val="24"/>
          <w:highlight w:val="none"/>
        </w:rPr>
        <w:t>质疑事项2</w:t>
      </w:r>
    </w:p>
    <w:p w14:paraId="74078226">
      <w:pPr>
        <w:pStyle w:val="18"/>
        <w:spacing w:line="360" w:lineRule="auto"/>
        <w:ind w:left="25" w:leftChars="12" w:firstLine="472" w:firstLineChars="197"/>
        <w:rPr>
          <w:rFonts w:hAnsi="宋体"/>
          <w:color w:val="auto"/>
          <w:sz w:val="24"/>
          <w:szCs w:val="24"/>
          <w:highlight w:val="none"/>
        </w:rPr>
      </w:pPr>
      <w:r>
        <w:rPr>
          <w:rFonts w:hAnsi="宋体"/>
          <w:color w:val="auto"/>
          <w:sz w:val="24"/>
          <w:szCs w:val="24"/>
          <w:highlight w:val="none"/>
        </w:rPr>
        <w:t>……</w:t>
      </w:r>
    </w:p>
    <w:p w14:paraId="66557217">
      <w:pPr>
        <w:pStyle w:val="18"/>
        <w:spacing w:line="360" w:lineRule="auto"/>
        <w:ind w:left="25" w:leftChars="12" w:firstLine="472" w:firstLineChars="197"/>
        <w:rPr>
          <w:rFonts w:hAnsi="宋体"/>
          <w:color w:val="auto"/>
          <w:sz w:val="24"/>
          <w:szCs w:val="24"/>
          <w:highlight w:val="none"/>
        </w:rPr>
      </w:pPr>
      <w:r>
        <w:rPr>
          <w:rFonts w:hint="eastAsia" w:hAnsi="宋体"/>
          <w:color w:val="auto"/>
          <w:sz w:val="24"/>
          <w:szCs w:val="24"/>
          <w:highlight w:val="none"/>
        </w:rPr>
        <w:t>四、与质疑事项相关的质疑请求：</w:t>
      </w:r>
    </w:p>
    <w:p w14:paraId="70A11F12">
      <w:pPr>
        <w:pStyle w:val="18"/>
        <w:spacing w:line="360" w:lineRule="auto"/>
        <w:ind w:left="25" w:leftChars="12" w:firstLine="472" w:firstLineChars="197"/>
        <w:rPr>
          <w:rFonts w:hAnsi="宋体"/>
          <w:color w:val="auto"/>
          <w:sz w:val="24"/>
          <w:szCs w:val="24"/>
          <w:highlight w:val="none"/>
        </w:rPr>
      </w:pPr>
      <w:r>
        <w:rPr>
          <w:rFonts w:hint="eastAsia" w:hAnsi="宋体"/>
          <w:color w:val="auto"/>
          <w:sz w:val="24"/>
          <w:szCs w:val="24"/>
          <w:highlight w:val="none"/>
        </w:rPr>
        <w:t>请求：</w:t>
      </w:r>
      <w:r>
        <w:rPr>
          <w:rFonts w:hint="eastAsia" w:hAnsi="宋体"/>
          <w:bCs/>
          <w:color w:val="auto"/>
          <w:sz w:val="24"/>
          <w:szCs w:val="24"/>
          <w:highlight w:val="none"/>
          <w:u w:val="single"/>
        </w:rPr>
        <w:t xml:space="preserve">                                                                </w:t>
      </w:r>
    </w:p>
    <w:p w14:paraId="57C53B8A">
      <w:pPr>
        <w:pStyle w:val="18"/>
        <w:spacing w:line="360" w:lineRule="auto"/>
        <w:ind w:left="25" w:leftChars="12" w:firstLine="352" w:firstLineChars="147"/>
        <w:rPr>
          <w:rFonts w:hAnsi="宋体"/>
          <w:color w:val="auto"/>
          <w:sz w:val="24"/>
          <w:szCs w:val="24"/>
          <w:highlight w:val="none"/>
        </w:rPr>
      </w:pPr>
    </w:p>
    <w:p w14:paraId="5DE90047">
      <w:pPr>
        <w:pStyle w:val="18"/>
        <w:spacing w:line="360" w:lineRule="auto"/>
        <w:ind w:left="25" w:leftChars="12" w:firstLine="472" w:firstLineChars="197"/>
        <w:rPr>
          <w:rFonts w:hAnsi="宋体"/>
          <w:color w:val="auto"/>
          <w:sz w:val="24"/>
          <w:szCs w:val="24"/>
          <w:highlight w:val="none"/>
        </w:rPr>
      </w:pPr>
      <w:r>
        <w:rPr>
          <w:rFonts w:hint="eastAsia" w:hAnsi="宋体"/>
          <w:color w:val="auto"/>
          <w:sz w:val="24"/>
          <w:szCs w:val="24"/>
          <w:highlight w:val="none"/>
        </w:rPr>
        <w:t>签字（签章）：                                       公章：</w:t>
      </w:r>
    </w:p>
    <w:p w14:paraId="2BFBB7F5">
      <w:pPr>
        <w:pStyle w:val="18"/>
        <w:spacing w:line="360" w:lineRule="auto"/>
        <w:ind w:left="25" w:leftChars="12" w:firstLine="352" w:firstLineChars="147"/>
        <w:rPr>
          <w:rFonts w:hAnsi="宋体"/>
          <w:color w:val="auto"/>
          <w:sz w:val="24"/>
          <w:szCs w:val="24"/>
          <w:highlight w:val="none"/>
        </w:rPr>
      </w:pPr>
    </w:p>
    <w:p w14:paraId="5EBB07BB">
      <w:pPr>
        <w:pStyle w:val="18"/>
        <w:spacing w:line="360" w:lineRule="auto"/>
        <w:ind w:left="25" w:leftChars="12" w:firstLine="472" w:firstLineChars="197"/>
        <w:rPr>
          <w:rFonts w:hAnsi="宋体"/>
          <w:color w:val="auto"/>
          <w:sz w:val="24"/>
          <w:szCs w:val="24"/>
          <w:highlight w:val="none"/>
        </w:rPr>
      </w:pPr>
      <w:r>
        <w:rPr>
          <w:rFonts w:hint="eastAsia" w:hAnsi="宋体"/>
          <w:color w:val="auto"/>
          <w:sz w:val="24"/>
          <w:szCs w:val="24"/>
          <w:highlight w:val="none"/>
        </w:rPr>
        <w:t>日期：</w:t>
      </w:r>
    </w:p>
    <w:p w14:paraId="788CA4BE">
      <w:pPr>
        <w:pStyle w:val="18"/>
        <w:snapToGrid w:val="0"/>
        <w:spacing w:line="360" w:lineRule="auto"/>
        <w:rPr>
          <w:rFonts w:hAnsi="宋体"/>
          <w:b/>
          <w:color w:val="auto"/>
          <w:sz w:val="24"/>
          <w:szCs w:val="24"/>
          <w:highlight w:val="none"/>
        </w:rPr>
      </w:pPr>
    </w:p>
    <w:p w14:paraId="19C5490C">
      <w:pPr>
        <w:pStyle w:val="18"/>
        <w:snapToGrid w:val="0"/>
        <w:spacing w:line="360" w:lineRule="auto"/>
        <w:rPr>
          <w:rFonts w:hAnsi="宋体"/>
          <w:b/>
          <w:color w:val="auto"/>
          <w:sz w:val="24"/>
          <w:szCs w:val="24"/>
          <w:highlight w:val="none"/>
        </w:rPr>
      </w:pPr>
      <w:r>
        <w:rPr>
          <w:rFonts w:hint="eastAsia" w:hAnsi="宋体"/>
          <w:b/>
          <w:color w:val="auto"/>
          <w:sz w:val="24"/>
          <w:szCs w:val="24"/>
          <w:highlight w:val="none"/>
        </w:rPr>
        <w:t>说明：</w:t>
      </w:r>
    </w:p>
    <w:p w14:paraId="294278A7">
      <w:pPr>
        <w:pStyle w:val="18"/>
        <w:spacing w:line="360" w:lineRule="auto"/>
        <w:ind w:left="25" w:leftChars="12" w:firstLine="354" w:firstLineChars="147"/>
        <w:rPr>
          <w:rFonts w:hAnsi="宋体"/>
          <w:b/>
          <w:bCs/>
          <w:color w:val="auto"/>
          <w:sz w:val="24"/>
          <w:szCs w:val="24"/>
          <w:highlight w:val="none"/>
        </w:rPr>
      </w:pPr>
      <w:r>
        <w:rPr>
          <w:rFonts w:hint="eastAsia" w:hAnsi="宋体"/>
          <w:b/>
          <w:color w:val="auto"/>
          <w:sz w:val="24"/>
          <w:szCs w:val="24"/>
          <w:highlight w:val="none"/>
        </w:rPr>
        <w:t>1.供应商提出质疑时，应提交质疑函和必要的证明材料</w:t>
      </w:r>
      <w:r>
        <w:rPr>
          <w:rFonts w:hint="eastAsia" w:hAnsi="宋体"/>
          <w:b/>
          <w:bCs/>
          <w:color w:val="auto"/>
          <w:sz w:val="24"/>
          <w:szCs w:val="24"/>
          <w:highlight w:val="none"/>
        </w:rPr>
        <w:t>。</w:t>
      </w:r>
    </w:p>
    <w:p w14:paraId="17291784">
      <w:pPr>
        <w:pStyle w:val="18"/>
        <w:spacing w:line="360" w:lineRule="auto"/>
        <w:ind w:left="25" w:leftChars="12" w:firstLine="354" w:firstLineChars="147"/>
        <w:rPr>
          <w:rFonts w:hAnsi="宋体"/>
          <w:b/>
          <w:color w:val="auto"/>
          <w:sz w:val="24"/>
          <w:szCs w:val="24"/>
          <w:highlight w:val="none"/>
        </w:rPr>
      </w:pPr>
      <w:r>
        <w:rPr>
          <w:rFonts w:hint="eastAsia" w:hAnsi="宋体"/>
          <w:b/>
          <w:color w:val="auto"/>
          <w:sz w:val="24"/>
          <w:szCs w:val="24"/>
          <w:highlight w:val="none"/>
        </w:rPr>
        <w:t>2.质疑供应商若委托代理人进行质疑的，质疑函应按要求列明“授权代表”的有关内容，并在附件中提交由质疑供应商签署的授权委托书。授权委托书应载明代理人的姓名或者名称、代理事项、具体权限、期限和相关事项。</w:t>
      </w:r>
    </w:p>
    <w:p w14:paraId="6C10237B">
      <w:pPr>
        <w:pStyle w:val="18"/>
        <w:spacing w:line="360" w:lineRule="auto"/>
        <w:ind w:left="25" w:leftChars="12" w:firstLine="354" w:firstLineChars="147"/>
        <w:rPr>
          <w:rFonts w:hAnsi="宋体"/>
          <w:b/>
          <w:color w:val="auto"/>
          <w:sz w:val="24"/>
          <w:szCs w:val="24"/>
          <w:highlight w:val="none"/>
        </w:rPr>
      </w:pPr>
      <w:r>
        <w:rPr>
          <w:rFonts w:hint="eastAsia" w:hAnsi="宋体"/>
          <w:b/>
          <w:color w:val="auto"/>
          <w:sz w:val="24"/>
          <w:szCs w:val="24"/>
          <w:highlight w:val="none"/>
        </w:rPr>
        <w:t>3.质疑函的质疑事项应具体、明确，并有必要的事实依据和法律依据。</w:t>
      </w:r>
    </w:p>
    <w:p w14:paraId="2916DD42">
      <w:pPr>
        <w:pStyle w:val="18"/>
        <w:spacing w:line="360" w:lineRule="auto"/>
        <w:ind w:left="25" w:leftChars="12" w:firstLine="354" w:firstLineChars="147"/>
        <w:rPr>
          <w:rFonts w:hAnsi="宋体"/>
          <w:b/>
          <w:color w:val="auto"/>
          <w:sz w:val="24"/>
          <w:szCs w:val="24"/>
          <w:highlight w:val="none"/>
        </w:rPr>
      </w:pPr>
      <w:r>
        <w:rPr>
          <w:rFonts w:hint="eastAsia" w:hAnsi="宋体"/>
          <w:b/>
          <w:color w:val="auto"/>
          <w:sz w:val="24"/>
          <w:szCs w:val="24"/>
          <w:highlight w:val="none"/>
        </w:rPr>
        <w:t>4.质疑函的质疑请求应与质疑事项相关。</w:t>
      </w:r>
    </w:p>
    <w:p w14:paraId="0A87D2B0">
      <w:pPr>
        <w:pStyle w:val="18"/>
        <w:spacing w:line="360" w:lineRule="auto"/>
        <w:ind w:left="25" w:leftChars="12" w:firstLine="354" w:firstLineChars="147"/>
        <w:rPr>
          <w:rFonts w:hAnsi="宋体"/>
          <w:b/>
          <w:color w:val="auto"/>
          <w:highlight w:val="none"/>
        </w:rPr>
      </w:pPr>
      <w:r>
        <w:rPr>
          <w:rFonts w:hint="eastAsia" w:hAnsi="宋体"/>
          <w:b/>
          <w:color w:val="auto"/>
          <w:sz w:val="24"/>
          <w:szCs w:val="24"/>
          <w:highlight w:val="none"/>
        </w:rPr>
        <w:t>5.质疑供应商为法人或者其他组织的，质疑函应由法定代表人、主要负责人，或者其授权代表签字或者盖章，并加盖公章。</w:t>
      </w:r>
    </w:p>
    <w:p w14:paraId="3A9E34FE">
      <w:pPr>
        <w:pStyle w:val="18"/>
        <w:snapToGrid w:val="0"/>
        <w:rPr>
          <w:b/>
          <w:color w:val="auto"/>
          <w:sz w:val="24"/>
          <w:szCs w:val="24"/>
          <w:highlight w:val="none"/>
        </w:rPr>
      </w:pPr>
    </w:p>
    <w:p w14:paraId="7EDD81BB">
      <w:pPr>
        <w:spacing w:line="460" w:lineRule="exact"/>
        <w:jc w:val="center"/>
        <w:rPr>
          <w:rFonts w:ascii="宋体" w:hAnsi="宋体"/>
          <w:b/>
          <w:bCs/>
          <w:color w:val="auto"/>
          <w:sz w:val="32"/>
          <w:szCs w:val="32"/>
          <w:highlight w:val="none"/>
        </w:rPr>
      </w:pPr>
      <w:r>
        <w:rPr>
          <w:rFonts w:eastAsia="隶书"/>
          <w:color w:val="auto"/>
          <w:sz w:val="44"/>
          <w:highlight w:val="none"/>
        </w:rPr>
        <w:br w:type="page"/>
      </w:r>
      <w:r>
        <w:rPr>
          <w:rFonts w:hint="eastAsia" w:ascii="宋体" w:hAnsi="宋体"/>
          <w:b/>
          <w:bCs/>
          <w:color w:val="auto"/>
          <w:sz w:val="32"/>
          <w:szCs w:val="32"/>
          <w:highlight w:val="none"/>
        </w:rPr>
        <w:t>投诉书（格式）</w:t>
      </w:r>
    </w:p>
    <w:p w14:paraId="4D98BC7A">
      <w:pPr>
        <w:pStyle w:val="18"/>
        <w:snapToGrid w:val="0"/>
        <w:spacing w:line="360" w:lineRule="auto"/>
        <w:ind w:firstLine="482" w:firstLineChars="200"/>
        <w:rPr>
          <w:rFonts w:hAnsi="宋体"/>
          <w:b/>
          <w:bCs/>
          <w:color w:val="auto"/>
          <w:sz w:val="24"/>
          <w:szCs w:val="24"/>
          <w:highlight w:val="none"/>
        </w:rPr>
      </w:pPr>
      <w:r>
        <w:rPr>
          <w:rFonts w:hint="eastAsia" w:hAnsi="宋体"/>
          <w:b/>
          <w:bCs/>
          <w:color w:val="auto"/>
          <w:sz w:val="24"/>
          <w:szCs w:val="24"/>
          <w:highlight w:val="none"/>
        </w:rPr>
        <w:t>一、投诉相关主体基本情况：</w:t>
      </w:r>
    </w:p>
    <w:p w14:paraId="0EC8C553">
      <w:pPr>
        <w:pStyle w:val="18"/>
        <w:snapToGrid w:val="0"/>
        <w:spacing w:line="360" w:lineRule="auto"/>
        <w:ind w:firstLine="480" w:firstLineChars="200"/>
        <w:rPr>
          <w:rFonts w:hAnsi="宋体"/>
          <w:bCs/>
          <w:color w:val="auto"/>
          <w:sz w:val="24"/>
          <w:szCs w:val="24"/>
          <w:highlight w:val="none"/>
          <w:u w:val="single"/>
        </w:rPr>
      </w:pPr>
      <w:r>
        <w:rPr>
          <w:rFonts w:hint="eastAsia" w:hAnsi="宋体"/>
          <w:bCs/>
          <w:color w:val="auto"/>
          <w:sz w:val="24"/>
          <w:szCs w:val="24"/>
          <w:highlight w:val="none"/>
        </w:rPr>
        <w:t>供应商：</w:t>
      </w:r>
      <w:r>
        <w:rPr>
          <w:rFonts w:hint="eastAsia" w:hAnsi="宋体"/>
          <w:bCs/>
          <w:color w:val="auto"/>
          <w:sz w:val="24"/>
          <w:szCs w:val="24"/>
          <w:highlight w:val="none"/>
          <w:u w:val="single"/>
        </w:rPr>
        <w:t xml:space="preserve">                                                                        </w:t>
      </w:r>
      <w:r>
        <w:rPr>
          <w:rFonts w:hint="eastAsia" w:hAnsi="宋体"/>
          <w:bCs/>
          <w:color w:val="auto"/>
          <w:sz w:val="24"/>
          <w:szCs w:val="24"/>
          <w:highlight w:val="none"/>
        </w:rPr>
        <w:t xml:space="preserve">                 </w:t>
      </w:r>
    </w:p>
    <w:p w14:paraId="15728288">
      <w:pPr>
        <w:pStyle w:val="18"/>
        <w:snapToGrid w:val="0"/>
        <w:spacing w:line="360" w:lineRule="auto"/>
        <w:ind w:firstLine="480" w:firstLineChars="200"/>
        <w:rPr>
          <w:rFonts w:hAnsi="宋体"/>
          <w:bCs/>
          <w:color w:val="auto"/>
          <w:sz w:val="24"/>
          <w:szCs w:val="24"/>
          <w:highlight w:val="none"/>
        </w:rPr>
      </w:pPr>
      <w:r>
        <w:rPr>
          <w:rFonts w:hAnsi="宋体"/>
          <w:bCs/>
          <w:color w:val="auto"/>
          <w:sz w:val="24"/>
          <w:szCs w:val="24"/>
          <w:highlight w:val="none"/>
        </w:rPr>
        <w:t>地址</w:t>
      </w:r>
      <w:r>
        <w:rPr>
          <w:rFonts w:hint="eastAsia" w:hAnsi="宋体"/>
          <w:bCs/>
          <w:color w:val="auto"/>
          <w:sz w:val="24"/>
          <w:szCs w:val="24"/>
          <w:highlight w:val="none"/>
        </w:rPr>
        <w:t>：</w:t>
      </w:r>
      <w:r>
        <w:rPr>
          <w:rFonts w:hint="eastAsia" w:hAnsi="宋体"/>
          <w:bCs/>
          <w:color w:val="auto"/>
          <w:sz w:val="24"/>
          <w:szCs w:val="24"/>
          <w:highlight w:val="none"/>
          <w:u w:val="single"/>
        </w:rPr>
        <w:t xml:space="preserve">                                          </w:t>
      </w:r>
      <w:r>
        <w:rPr>
          <w:rFonts w:hAnsi="宋体"/>
          <w:bCs/>
          <w:color w:val="auto"/>
          <w:sz w:val="24"/>
          <w:szCs w:val="24"/>
          <w:highlight w:val="none"/>
        </w:rPr>
        <w:t>邮编</w:t>
      </w:r>
      <w:r>
        <w:rPr>
          <w:rFonts w:hint="eastAsia" w:hAnsi="宋体"/>
          <w:bCs/>
          <w:color w:val="auto"/>
          <w:sz w:val="24"/>
          <w:szCs w:val="24"/>
          <w:highlight w:val="none"/>
        </w:rPr>
        <w:t>：</w:t>
      </w:r>
      <w:r>
        <w:rPr>
          <w:rFonts w:hint="eastAsia" w:hAnsi="宋体"/>
          <w:bCs/>
          <w:color w:val="auto"/>
          <w:sz w:val="24"/>
          <w:szCs w:val="24"/>
          <w:highlight w:val="none"/>
          <w:u w:val="single"/>
        </w:rPr>
        <w:t xml:space="preserve">                          </w:t>
      </w:r>
      <w:r>
        <w:rPr>
          <w:rFonts w:hint="eastAsia" w:hAnsi="宋体"/>
          <w:bCs/>
          <w:color w:val="auto"/>
          <w:sz w:val="24"/>
          <w:szCs w:val="24"/>
          <w:highlight w:val="none"/>
        </w:rPr>
        <w:t xml:space="preserve">                 </w:t>
      </w:r>
    </w:p>
    <w:p w14:paraId="3AD9DEF2">
      <w:pPr>
        <w:pStyle w:val="18"/>
        <w:snapToGrid w:val="0"/>
        <w:spacing w:line="360" w:lineRule="auto"/>
        <w:ind w:firstLine="480" w:firstLineChars="200"/>
        <w:rPr>
          <w:rFonts w:hAnsi="宋体"/>
          <w:bCs/>
          <w:color w:val="auto"/>
          <w:sz w:val="24"/>
          <w:szCs w:val="24"/>
          <w:highlight w:val="none"/>
          <w:u w:val="single"/>
        </w:rPr>
      </w:pPr>
      <w:r>
        <w:rPr>
          <w:rFonts w:hint="eastAsia" w:hAnsi="宋体"/>
          <w:bCs/>
          <w:color w:val="auto"/>
          <w:sz w:val="24"/>
          <w:szCs w:val="24"/>
          <w:highlight w:val="none"/>
        </w:rPr>
        <w:t>法定代表人/主要负责人：</w:t>
      </w:r>
      <w:r>
        <w:rPr>
          <w:rFonts w:hint="eastAsia" w:hAnsi="宋体"/>
          <w:bCs/>
          <w:color w:val="auto"/>
          <w:sz w:val="24"/>
          <w:szCs w:val="24"/>
          <w:highlight w:val="none"/>
          <w:u w:val="single"/>
        </w:rPr>
        <w:t xml:space="preserve">                                                         </w:t>
      </w:r>
    </w:p>
    <w:p w14:paraId="47F0B7C9">
      <w:pPr>
        <w:pStyle w:val="18"/>
        <w:snapToGrid w:val="0"/>
        <w:spacing w:line="360" w:lineRule="auto"/>
        <w:ind w:firstLine="480" w:firstLineChars="200"/>
        <w:rPr>
          <w:rFonts w:hAnsi="宋体"/>
          <w:bCs/>
          <w:color w:val="auto"/>
          <w:sz w:val="24"/>
          <w:szCs w:val="24"/>
          <w:highlight w:val="none"/>
        </w:rPr>
      </w:pPr>
      <w:r>
        <w:rPr>
          <w:rFonts w:hAnsi="宋体"/>
          <w:bCs/>
          <w:color w:val="auto"/>
          <w:sz w:val="24"/>
          <w:szCs w:val="24"/>
          <w:highlight w:val="none"/>
        </w:rPr>
        <w:t>联系电话</w:t>
      </w:r>
      <w:r>
        <w:rPr>
          <w:rFonts w:hint="eastAsia" w:hAnsi="宋体"/>
          <w:bCs/>
          <w:color w:val="auto"/>
          <w:sz w:val="24"/>
          <w:szCs w:val="24"/>
          <w:highlight w:val="none"/>
        </w:rPr>
        <w:t>：</w:t>
      </w:r>
      <w:r>
        <w:rPr>
          <w:rFonts w:hint="eastAsia" w:hAnsi="宋体"/>
          <w:bCs/>
          <w:color w:val="auto"/>
          <w:sz w:val="24"/>
          <w:szCs w:val="24"/>
          <w:highlight w:val="none"/>
          <w:u w:val="single"/>
        </w:rPr>
        <w:t xml:space="preserve">                                         </w:t>
      </w:r>
    </w:p>
    <w:p w14:paraId="7198433B">
      <w:pPr>
        <w:pStyle w:val="18"/>
        <w:snapToGrid w:val="0"/>
        <w:spacing w:line="360" w:lineRule="auto"/>
        <w:ind w:firstLine="480" w:firstLineChars="200"/>
        <w:rPr>
          <w:rFonts w:hAnsi="宋体"/>
          <w:bCs/>
          <w:color w:val="auto"/>
          <w:sz w:val="24"/>
          <w:szCs w:val="24"/>
          <w:highlight w:val="none"/>
          <w:u w:val="single"/>
        </w:rPr>
      </w:pPr>
      <w:r>
        <w:rPr>
          <w:rFonts w:hint="eastAsia" w:hAnsi="宋体"/>
          <w:bCs/>
          <w:color w:val="auto"/>
          <w:sz w:val="24"/>
          <w:szCs w:val="24"/>
          <w:highlight w:val="none"/>
        </w:rPr>
        <w:t>授权代表：</w:t>
      </w:r>
      <w:r>
        <w:rPr>
          <w:rFonts w:hint="eastAsia" w:hAnsi="宋体"/>
          <w:bCs/>
          <w:color w:val="auto"/>
          <w:sz w:val="24"/>
          <w:szCs w:val="24"/>
          <w:highlight w:val="none"/>
          <w:u w:val="single"/>
        </w:rPr>
        <w:t xml:space="preserve">                                         </w:t>
      </w:r>
      <w:r>
        <w:rPr>
          <w:rFonts w:hAnsi="宋体"/>
          <w:bCs/>
          <w:color w:val="auto"/>
          <w:sz w:val="24"/>
          <w:szCs w:val="24"/>
          <w:highlight w:val="none"/>
        </w:rPr>
        <w:t>联系</w:t>
      </w:r>
      <w:r>
        <w:rPr>
          <w:rFonts w:hint="eastAsia" w:hAnsi="宋体"/>
          <w:bCs/>
          <w:color w:val="auto"/>
          <w:sz w:val="24"/>
          <w:szCs w:val="24"/>
          <w:highlight w:val="none"/>
        </w:rPr>
        <w:t>电话：</w:t>
      </w:r>
      <w:r>
        <w:rPr>
          <w:rFonts w:hint="eastAsia" w:hAnsi="宋体"/>
          <w:bCs/>
          <w:color w:val="auto"/>
          <w:sz w:val="24"/>
          <w:szCs w:val="24"/>
          <w:highlight w:val="none"/>
          <w:u w:val="single"/>
        </w:rPr>
        <w:t xml:space="preserve">                   </w:t>
      </w:r>
    </w:p>
    <w:p w14:paraId="30FE44D4">
      <w:pPr>
        <w:pStyle w:val="18"/>
        <w:snapToGrid w:val="0"/>
        <w:spacing w:line="360" w:lineRule="auto"/>
        <w:ind w:firstLine="480" w:firstLineChars="200"/>
        <w:rPr>
          <w:rFonts w:hAnsi="宋体"/>
          <w:bCs/>
          <w:color w:val="auto"/>
          <w:sz w:val="24"/>
          <w:szCs w:val="24"/>
          <w:highlight w:val="none"/>
        </w:rPr>
      </w:pPr>
      <w:r>
        <w:rPr>
          <w:rFonts w:hAnsi="宋体"/>
          <w:bCs/>
          <w:color w:val="auto"/>
          <w:sz w:val="24"/>
          <w:szCs w:val="24"/>
          <w:highlight w:val="none"/>
        </w:rPr>
        <w:t>地址</w:t>
      </w:r>
      <w:r>
        <w:rPr>
          <w:rFonts w:hint="eastAsia" w:hAnsi="宋体"/>
          <w:bCs/>
          <w:color w:val="auto"/>
          <w:sz w:val="24"/>
          <w:szCs w:val="24"/>
          <w:highlight w:val="none"/>
        </w:rPr>
        <w:t>：</w:t>
      </w:r>
      <w:r>
        <w:rPr>
          <w:rFonts w:hint="eastAsia" w:hAnsi="宋体"/>
          <w:bCs/>
          <w:color w:val="auto"/>
          <w:sz w:val="24"/>
          <w:szCs w:val="24"/>
          <w:highlight w:val="none"/>
          <w:u w:val="single"/>
        </w:rPr>
        <w:t xml:space="preserve">                                                            </w:t>
      </w:r>
      <w:r>
        <w:rPr>
          <w:rFonts w:hAnsi="宋体"/>
          <w:bCs/>
          <w:color w:val="auto"/>
          <w:sz w:val="24"/>
          <w:szCs w:val="24"/>
          <w:highlight w:val="none"/>
        </w:rPr>
        <w:t>邮编</w:t>
      </w:r>
      <w:r>
        <w:rPr>
          <w:rFonts w:hint="eastAsia" w:hAnsi="宋体"/>
          <w:bCs/>
          <w:color w:val="auto"/>
          <w:sz w:val="24"/>
          <w:szCs w:val="24"/>
          <w:highlight w:val="none"/>
        </w:rPr>
        <w:t>：</w:t>
      </w:r>
      <w:r>
        <w:rPr>
          <w:rFonts w:hint="eastAsia" w:hAnsi="宋体"/>
          <w:bCs/>
          <w:color w:val="auto"/>
          <w:sz w:val="24"/>
          <w:szCs w:val="24"/>
          <w:highlight w:val="none"/>
          <w:u w:val="single"/>
        </w:rPr>
        <w:t xml:space="preserve">         </w:t>
      </w:r>
      <w:r>
        <w:rPr>
          <w:rFonts w:hint="eastAsia" w:hAnsi="宋体"/>
          <w:bCs/>
          <w:color w:val="auto"/>
          <w:sz w:val="24"/>
          <w:szCs w:val="24"/>
          <w:highlight w:val="none"/>
        </w:rPr>
        <w:t xml:space="preserve">   </w:t>
      </w:r>
    </w:p>
    <w:p w14:paraId="13368EF6">
      <w:pPr>
        <w:pStyle w:val="18"/>
        <w:snapToGrid w:val="0"/>
        <w:spacing w:line="360" w:lineRule="auto"/>
        <w:ind w:firstLine="480" w:firstLineChars="200"/>
        <w:rPr>
          <w:rFonts w:hAnsi="宋体"/>
          <w:bCs/>
          <w:color w:val="auto"/>
          <w:sz w:val="24"/>
          <w:szCs w:val="24"/>
          <w:highlight w:val="none"/>
        </w:rPr>
      </w:pPr>
      <w:r>
        <w:rPr>
          <w:rFonts w:hint="eastAsia" w:hAnsi="宋体"/>
          <w:bCs/>
          <w:color w:val="auto"/>
          <w:sz w:val="24"/>
          <w:szCs w:val="24"/>
          <w:highlight w:val="none"/>
        </w:rPr>
        <w:t>被投诉人1：</w:t>
      </w:r>
    </w:p>
    <w:p w14:paraId="0291FBCC">
      <w:pPr>
        <w:pStyle w:val="18"/>
        <w:snapToGrid w:val="0"/>
        <w:spacing w:line="360" w:lineRule="auto"/>
        <w:ind w:firstLine="480" w:firstLineChars="200"/>
        <w:rPr>
          <w:rFonts w:hAnsi="宋体"/>
          <w:bCs/>
          <w:color w:val="auto"/>
          <w:sz w:val="24"/>
          <w:szCs w:val="24"/>
          <w:highlight w:val="none"/>
        </w:rPr>
      </w:pPr>
      <w:r>
        <w:rPr>
          <w:rFonts w:hint="eastAsia" w:hAnsi="宋体"/>
          <w:bCs/>
          <w:color w:val="auto"/>
          <w:sz w:val="24"/>
          <w:szCs w:val="24"/>
          <w:highlight w:val="none"/>
        </w:rPr>
        <w:t>地址：</w:t>
      </w:r>
      <w:r>
        <w:rPr>
          <w:rFonts w:hint="eastAsia" w:hAnsi="宋体"/>
          <w:bCs/>
          <w:color w:val="auto"/>
          <w:sz w:val="24"/>
          <w:szCs w:val="24"/>
          <w:highlight w:val="none"/>
          <w:u w:val="single"/>
        </w:rPr>
        <w:t xml:space="preserve">                                                            </w:t>
      </w:r>
      <w:r>
        <w:rPr>
          <w:rFonts w:hAnsi="宋体"/>
          <w:bCs/>
          <w:color w:val="auto"/>
          <w:sz w:val="24"/>
          <w:szCs w:val="24"/>
          <w:highlight w:val="none"/>
        </w:rPr>
        <w:t>邮编</w:t>
      </w:r>
      <w:r>
        <w:rPr>
          <w:rFonts w:hint="eastAsia" w:hAnsi="宋体"/>
          <w:bCs/>
          <w:color w:val="auto"/>
          <w:sz w:val="24"/>
          <w:szCs w:val="24"/>
          <w:highlight w:val="none"/>
        </w:rPr>
        <w:t>：</w:t>
      </w:r>
      <w:r>
        <w:rPr>
          <w:rFonts w:hint="eastAsia" w:hAnsi="宋体"/>
          <w:bCs/>
          <w:color w:val="auto"/>
          <w:sz w:val="24"/>
          <w:szCs w:val="24"/>
          <w:highlight w:val="none"/>
          <w:u w:val="single"/>
        </w:rPr>
        <w:t xml:space="preserve">         </w:t>
      </w:r>
      <w:r>
        <w:rPr>
          <w:rFonts w:hint="eastAsia" w:hAnsi="宋体"/>
          <w:bCs/>
          <w:color w:val="auto"/>
          <w:sz w:val="24"/>
          <w:szCs w:val="24"/>
          <w:highlight w:val="none"/>
        </w:rPr>
        <w:t xml:space="preserve">  </w:t>
      </w:r>
    </w:p>
    <w:p w14:paraId="1F6E983D">
      <w:pPr>
        <w:pStyle w:val="18"/>
        <w:snapToGrid w:val="0"/>
        <w:spacing w:line="360" w:lineRule="auto"/>
        <w:ind w:firstLine="480" w:firstLineChars="200"/>
        <w:rPr>
          <w:rFonts w:hAnsi="宋体"/>
          <w:bCs/>
          <w:color w:val="auto"/>
          <w:sz w:val="24"/>
          <w:szCs w:val="24"/>
          <w:highlight w:val="none"/>
          <w:u w:val="single"/>
        </w:rPr>
      </w:pPr>
      <w:r>
        <w:rPr>
          <w:rFonts w:hint="eastAsia" w:hAnsi="宋体"/>
          <w:bCs/>
          <w:color w:val="auto"/>
          <w:sz w:val="24"/>
          <w:szCs w:val="24"/>
          <w:highlight w:val="none"/>
        </w:rPr>
        <w:t>联系人：</w:t>
      </w:r>
      <w:r>
        <w:rPr>
          <w:rFonts w:hint="eastAsia" w:hAnsi="宋体"/>
          <w:bCs/>
          <w:color w:val="auto"/>
          <w:sz w:val="24"/>
          <w:szCs w:val="24"/>
          <w:highlight w:val="none"/>
          <w:u w:val="single"/>
        </w:rPr>
        <w:t xml:space="preserve">                                                </w:t>
      </w:r>
      <w:r>
        <w:rPr>
          <w:rFonts w:hAnsi="宋体"/>
          <w:bCs/>
          <w:color w:val="auto"/>
          <w:sz w:val="24"/>
          <w:szCs w:val="24"/>
          <w:highlight w:val="none"/>
        </w:rPr>
        <w:t>联系</w:t>
      </w:r>
      <w:r>
        <w:rPr>
          <w:rFonts w:hint="eastAsia" w:hAnsi="宋体"/>
          <w:bCs/>
          <w:color w:val="auto"/>
          <w:sz w:val="24"/>
          <w:szCs w:val="24"/>
          <w:highlight w:val="none"/>
        </w:rPr>
        <w:t>电话：</w:t>
      </w:r>
      <w:r>
        <w:rPr>
          <w:rFonts w:hint="eastAsia" w:hAnsi="宋体"/>
          <w:bCs/>
          <w:color w:val="auto"/>
          <w:sz w:val="24"/>
          <w:szCs w:val="24"/>
          <w:highlight w:val="none"/>
          <w:u w:val="single"/>
        </w:rPr>
        <w:t xml:space="preserve">                </w:t>
      </w:r>
    </w:p>
    <w:p w14:paraId="3FA19039">
      <w:pPr>
        <w:pStyle w:val="18"/>
        <w:snapToGrid w:val="0"/>
        <w:spacing w:line="360" w:lineRule="auto"/>
        <w:ind w:firstLine="480" w:firstLineChars="200"/>
        <w:rPr>
          <w:rFonts w:hAnsi="宋体"/>
          <w:bCs/>
          <w:color w:val="auto"/>
          <w:sz w:val="24"/>
          <w:szCs w:val="24"/>
          <w:highlight w:val="none"/>
        </w:rPr>
      </w:pPr>
      <w:r>
        <w:rPr>
          <w:rFonts w:hint="eastAsia" w:hAnsi="宋体"/>
          <w:bCs/>
          <w:color w:val="auto"/>
          <w:sz w:val="24"/>
          <w:szCs w:val="24"/>
          <w:highlight w:val="none"/>
        </w:rPr>
        <w:t>被投诉人2：</w:t>
      </w:r>
    </w:p>
    <w:p w14:paraId="175CF5D4">
      <w:pPr>
        <w:pStyle w:val="18"/>
        <w:snapToGrid w:val="0"/>
        <w:spacing w:line="360" w:lineRule="auto"/>
        <w:ind w:firstLine="480" w:firstLineChars="200"/>
        <w:rPr>
          <w:rFonts w:hAnsi="宋体"/>
          <w:bCs/>
          <w:color w:val="auto"/>
          <w:sz w:val="24"/>
          <w:szCs w:val="24"/>
          <w:highlight w:val="none"/>
        </w:rPr>
      </w:pPr>
      <w:r>
        <w:rPr>
          <w:rFonts w:hAnsi="宋体"/>
          <w:bCs/>
          <w:color w:val="auto"/>
          <w:sz w:val="24"/>
          <w:szCs w:val="24"/>
          <w:highlight w:val="none"/>
        </w:rPr>
        <w:t>……</w:t>
      </w:r>
    </w:p>
    <w:p w14:paraId="42D5DCDD">
      <w:pPr>
        <w:pStyle w:val="18"/>
        <w:snapToGrid w:val="0"/>
        <w:spacing w:line="360" w:lineRule="auto"/>
        <w:ind w:firstLine="480" w:firstLineChars="200"/>
        <w:rPr>
          <w:rFonts w:hAnsi="宋体"/>
          <w:bCs/>
          <w:color w:val="auto"/>
          <w:sz w:val="24"/>
          <w:szCs w:val="24"/>
          <w:highlight w:val="none"/>
          <w:u w:val="single"/>
        </w:rPr>
      </w:pPr>
      <w:r>
        <w:rPr>
          <w:rFonts w:hint="eastAsia" w:hAnsi="宋体"/>
          <w:bCs/>
          <w:color w:val="auto"/>
          <w:sz w:val="24"/>
          <w:szCs w:val="24"/>
          <w:highlight w:val="none"/>
        </w:rPr>
        <w:t>相关供应商：</w:t>
      </w:r>
      <w:r>
        <w:rPr>
          <w:rFonts w:hint="eastAsia" w:hAnsi="宋体"/>
          <w:bCs/>
          <w:color w:val="auto"/>
          <w:sz w:val="24"/>
          <w:szCs w:val="24"/>
          <w:highlight w:val="none"/>
          <w:u w:val="single"/>
        </w:rPr>
        <w:t xml:space="preserve">                                                                       </w:t>
      </w:r>
    </w:p>
    <w:p w14:paraId="1CBA9E6B">
      <w:pPr>
        <w:pStyle w:val="18"/>
        <w:snapToGrid w:val="0"/>
        <w:spacing w:line="360" w:lineRule="auto"/>
        <w:ind w:firstLine="480" w:firstLineChars="200"/>
        <w:rPr>
          <w:rFonts w:hAnsi="宋体"/>
          <w:bCs/>
          <w:color w:val="auto"/>
          <w:sz w:val="24"/>
          <w:szCs w:val="24"/>
          <w:highlight w:val="none"/>
          <w:u w:val="single"/>
        </w:rPr>
      </w:pPr>
      <w:r>
        <w:rPr>
          <w:rFonts w:hAnsi="宋体"/>
          <w:bCs/>
          <w:color w:val="auto"/>
          <w:sz w:val="24"/>
          <w:szCs w:val="24"/>
          <w:highlight w:val="none"/>
        </w:rPr>
        <w:t>地址</w:t>
      </w:r>
      <w:r>
        <w:rPr>
          <w:rFonts w:hint="eastAsia" w:hAnsi="宋体"/>
          <w:bCs/>
          <w:color w:val="auto"/>
          <w:sz w:val="24"/>
          <w:szCs w:val="24"/>
          <w:highlight w:val="none"/>
        </w:rPr>
        <w:t>：</w:t>
      </w:r>
      <w:r>
        <w:rPr>
          <w:rFonts w:hint="eastAsia" w:hAnsi="宋体"/>
          <w:bCs/>
          <w:color w:val="auto"/>
          <w:sz w:val="24"/>
          <w:szCs w:val="24"/>
          <w:highlight w:val="none"/>
          <w:u w:val="single"/>
        </w:rPr>
        <w:t xml:space="preserve">                                              </w:t>
      </w:r>
      <w:r>
        <w:rPr>
          <w:rFonts w:hAnsi="宋体"/>
          <w:bCs/>
          <w:color w:val="auto"/>
          <w:sz w:val="24"/>
          <w:szCs w:val="24"/>
          <w:highlight w:val="none"/>
        </w:rPr>
        <w:t>邮编</w:t>
      </w:r>
      <w:r>
        <w:rPr>
          <w:rFonts w:hint="eastAsia" w:hAnsi="宋体"/>
          <w:bCs/>
          <w:color w:val="auto"/>
          <w:sz w:val="24"/>
          <w:szCs w:val="24"/>
          <w:highlight w:val="none"/>
        </w:rPr>
        <w:t>：</w:t>
      </w:r>
      <w:r>
        <w:rPr>
          <w:rFonts w:hint="eastAsia" w:hAnsi="宋体"/>
          <w:bCs/>
          <w:color w:val="auto"/>
          <w:sz w:val="24"/>
          <w:szCs w:val="24"/>
          <w:highlight w:val="none"/>
          <w:u w:val="single"/>
        </w:rPr>
        <w:t xml:space="preserve">                         </w:t>
      </w:r>
    </w:p>
    <w:p w14:paraId="53C6C3C3">
      <w:pPr>
        <w:pStyle w:val="18"/>
        <w:snapToGrid w:val="0"/>
        <w:spacing w:line="360" w:lineRule="auto"/>
        <w:ind w:firstLine="480" w:firstLineChars="200"/>
        <w:rPr>
          <w:rFonts w:hAnsi="宋体"/>
          <w:bCs/>
          <w:color w:val="auto"/>
          <w:sz w:val="24"/>
          <w:szCs w:val="24"/>
          <w:highlight w:val="none"/>
        </w:rPr>
      </w:pPr>
      <w:r>
        <w:rPr>
          <w:rFonts w:hint="eastAsia" w:hAnsi="宋体"/>
          <w:bCs/>
          <w:color w:val="auto"/>
          <w:sz w:val="24"/>
          <w:szCs w:val="24"/>
          <w:highlight w:val="none"/>
        </w:rPr>
        <w:t>联系人：</w:t>
      </w:r>
      <w:r>
        <w:rPr>
          <w:rFonts w:hint="eastAsia" w:hAnsi="宋体"/>
          <w:bCs/>
          <w:color w:val="auto"/>
          <w:sz w:val="24"/>
          <w:szCs w:val="24"/>
          <w:highlight w:val="none"/>
          <w:u w:val="single"/>
        </w:rPr>
        <w:t xml:space="preserve">                                            </w:t>
      </w:r>
      <w:r>
        <w:rPr>
          <w:rFonts w:hAnsi="宋体"/>
          <w:bCs/>
          <w:color w:val="auto"/>
          <w:sz w:val="24"/>
          <w:szCs w:val="24"/>
          <w:highlight w:val="none"/>
        </w:rPr>
        <w:t>联系</w:t>
      </w:r>
      <w:r>
        <w:rPr>
          <w:rFonts w:hint="eastAsia" w:hAnsi="宋体"/>
          <w:bCs/>
          <w:color w:val="auto"/>
          <w:sz w:val="24"/>
          <w:szCs w:val="24"/>
          <w:highlight w:val="none"/>
        </w:rPr>
        <w:t>电话：</w:t>
      </w:r>
      <w:r>
        <w:rPr>
          <w:rFonts w:hint="eastAsia" w:hAnsi="宋体"/>
          <w:bCs/>
          <w:color w:val="auto"/>
          <w:sz w:val="24"/>
          <w:szCs w:val="24"/>
          <w:highlight w:val="none"/>
          <w:u w:val="single"/>
        </w:rPr>
        <w:t xml:space="preserve">                     </w:t>
      </w:r>
      <w:r>
        <w:rPr>
          <w:rFonts w:hint="eastAsia" w:hAnsi="宋体"/>
          <w:bCs/>
          <w:color w:val="auto"/>
          <w:sz w:val="24"/>
          <w:szCs w:val="24"/>
          <w:highlight w:val="none"/>
        </w:rPr>
        <w:t xml:space="preserve">                </w:t>
      </w:r>
    </w:p>
    <w:p w14:paraId="298CD243">
      <w:pPr>
        <w:pStyle w:val="18"/>
        <w:snapToGrid w:val="0"/>
        <w:spacing w:line="360" w:lineRule="auto"/>
        <w:ind w:firstLine="482" w:firstLineChars="200"/>
        <w:rPr>
          <w:rFonts w:hAnsi="宋体"/>
          <w:b/>
          <w:bCs/>
          <w:color w:val="auto"/>
          <w:sz w:val="24"/>
          <w:szCs w:val="24"/>
          <w:highlight w:val="none"/>
        </w:rPr>
      </w:pPr>
      <w:r>
        <w:rPr>
          <w:rFonts w:hint="eastAsia" w:hAnsi="宋体"/>
          <w:b/>
          <w:bCs/>
          <w:color w:val="auto"/>
          <w:sz w:val="24"/>
          <w:szCs w:val="24"/>
          <w:highlight w:val="none"/>
        </w:rPr>
        <w:t>二、投诉项目基本情况：</w:t>
      </w:r>
    </w:p>
    <w:p w14:paraId="4EB07497">
      <w:pPr>
        <w:pStyle w:val="18"/>
        <w:spacing w:line="360" w:lineRule="auto"/>
        <w:ind w:left="25" w:leftChars="12" w:firstLine="472" w:firstLineChars="197"/>
        <w:rPr>
          <w:rFonts w:hAnsi="宋体"/>
          <w:color w:val="auto"/>
          <w:sz w:val="24"/>
          <w:szCs w:val="24"/>
          <w:highlight w:val="none"/>
        </w:rPr>
      </w:pPr>
      <w:r>
        <w:rPr>
          <w:rFonts w:hint="eastAsia" w:hAnsi="宋体"/>
          <w:bCs/>
          <w:color w:val="auto"/>
          <w:sz w:val="24"/>
          <w:szCs w:val="24"/>
          <w:highlight w:val="none"/>
        </w:rPr>
        <w:t>采购</w:t>
      </w:r>
      <w:r>
        <w:rPr>
          <w:rFonts w:hint="eastAsia" w:hAnsi="宋体"/>
          <w:color w:val="auto"/>
          <w:sz w:val="24"/>
          <w:szCs w:val="24"/>
          <w:highlight w:val="none"/>
        </w:rPr>
        <w:t>项目的名称：</w:t>
      </w:r>
      <w:r>
        <w:rPr>
          <w:rFonts w:hint="eastAsia" w:hAnsi="宋体"/>
          <w:bCs/>
          <w:color w:val="auto"/>
          <w:sz w:val="24"/>
          <w:szCs w:val="24"/>
          <w:highlight w:val="none"/>
          <w:u w:val="single"/>
        </w:rPr>
        <w:t xml:space="preserve">                                                                   </w:t>
      </w:r>
    </w:p>
    <w:p w14:paraId="1BB3D981">
      <w:pPr>
        <w:pStyle w:val="18"/>
        <w:spacing w:line="360" w:lineRule="auto"/>
        <w:ind w:left="25" w:leftChars="12" w:firstLine="472" w:firstLineChars="197"/>
        <w:rPr>
          <w:rFonts w:hAnsi="宋体"/>
          <w:color w:val="auto"/>
          <w:sz w:val="24"/>
          <w:szCs w:val="24"/>
          <w:highlight w:val="none"/>
        </w:rPr>
      </w:pPr>
      <w:r>
        <w:rPr>
          <w:rFonts w:hint="eastAsia" w:hAnsi="宋体"/>
          <w:bCs/>
          <w:color w:val="auto"/>
          <w:sz w:val="24"/>
          <w:szCs w:val="24"/>
          <w:highlight w:val="none"/>
        </w:rPr>
        <w:t>采购</w:t>
      </w:r>
      <w:r>
        <w:rPr>
          <w:rFonts w:hint="eastAsia" w:hAnsi="宋体"/>
          <w:color w:val="auto"/>
          <w:sz w:val="24"/>
          <w:szCs w:val="24"/>
          <w:highlight w:val="none"/>
        </w:rPr>
        <w:t>项目的编号：</w:t>
      </w:r>
      <w:r>
        <w:rPr>
          <w:rFonts w:hint="eastAsia" w:hAnsi="宋体"/>
          <w:bCs/>
          <w:color w:val="auto"/>
          <w:sz w:val="24"/>
          <w:szCs w:val="24"/>
          <w:highlight w:val="none"/>
          <w:u w:val="single"/>
        </w:rPr>
        <w:t xml:space="preserve">                                          </w:t>
      </w:r>
    </w:p>
    <w:p w14:paraId="0F1DAD61">
      <w:pPr>
        <w:pStyle w:val="18"/>
        <w:spacing w:line="360" w:lineRule="auto"/>
        <w:ind w:left="25" w:leftChars="12" w:firstLine="472" w:firstLineChars="197"/>
        <w:rPr>
          <w:rFonts w:hAnsi="宋体"/>
          <w:bCs/>
          <w:color w:val="auto"/>
          <w:sz w:val="24"/>
          <w:szCs w:val="24"/>
          <w:highlight w:val="none"/>
          <w:u w:val="single"/>
        </w:rPr>
      </w:pPr>
      <w:r>
        <w:rPr>
          <w:rFonts w:hint="eastAsia" w:hAnsi="宋体"/>
          <w:color w:val="auto"/>
          <w:sz w:val="24"/>
          <w:szCs w:val="24"/>
          <w:highlight w:val="none"/>
        </w:rPr>
        <w:t>采购人名称：</w:t>
      </w:r>
      <w:r>
        <w:rPr>
          <w:rFonts w:hint="eastAsia" w:hAnsi="宋体"/>
          <w:bCs/>
          <w:color w:val="auto"/>
          <w:sz w:val="24"/>
          <w:szCs w:val="24"/>
          <w:highlight w:val="none"/>
          <w:u w:val="single"/>
        </w:rPr>
        <w:t xml:space="preserve">                                                                        </w:t>
      </w:r>
    </w:p>
    <w:p w14:paraId="7C4CDD6A">
      <w:pPr>
        <w:pStyle w:val="18"/>
        <w:spacing w:line="360" w:lineRule="auto"/>
        <w:ind w:left="25" w:leftChars="12" w:firstLine="472" w:firstLineChars="197"/>
        <w:rPr>
          <w:rFonts w:hAnsi="宋体"/>
          <w:bCs/>
          <w:color w:val="auto"/>
          <w:sz w:val="24"/>
          <w:szCs w:val="24"/>
          <w:highlight w:val="none"/>
          <w:u w:val="single"/>
        </w:rPr>
      </w:pPr>
      <w:r>
        <w:rPr>
          <w:rFonts w:hint="eastAsia" w:hAnsi="宋体"/>
          <w:color w:val="auto"/>
          <w:sz w:val="24"/>
          <w:szCs w:val="24"/>
          <w:highlight w:val="none"/>
        </w:rPr>
        <w:t>代理机构名称：</w:t>
      </w:r>
      <w:r>
        <w:rPr>
          <w:rFonts w:hint="eastAsia" w:hAnsi="宋体"/>
          <w:bCs/>
          <w:color w:val="auto"/>
          <w:sz w:val="24"/>
          <w:szCs w:val="24"/>
          <w:highlight w:val="none"/>
          <w:u w:val="single"/>
        </w:rPr>
        <w:t xml:space="preserve">                                                                      </w:t>
      </w:r>
    </w:p>
    <w:p w14:paraId="437914A2">
      <w:pPr>
        <w:pStyle w:val="18"/>
        <w:spacing w:line="360" w:lineRule="auto"/>
        <w:ind w:left="25" w:leftChars="12" w:firstLine="472" w:firstLineChars="197"/>
        <w:rPr>
          <w:rFonts w:hAnsi="宋体"/>
          <w:bCs/>
          <w:color w:val="auto"/>
          <w:sz w:val="24"/>
          <w:szCs w:val="24"/>
          <w:highlight w:val="none"/>
          <w:u w:val="single"/>
        </w:rPr>
      </w:pPr>
      <w:r>
        <w:rPr>
          <w:rFonts w:hint="eastAsia" w:hAnsi="宋体"/>
          <w:bCs/>
          <w:color w:val="auto"/>
          <w:sz w:val="24"/>
          <w:szCs w:val="24"/>
          <w:highlight w:val="none"/>
        </w:rPr>
        <w:t>采购文件公告：</w:t>
      </w:r>
      <w:r>
        <w:rPr>
          <w:rFonts w:hint="eastAsia" w:hAnsi="宋体"/>
          <w:bCs/>
          <w:color w:val="auto"/>
          <w:sz w:val="24"/>
          <w:szCs w:val="24"/>
          <w:highlight w:val="none"/>
          <w:u w:val="single"/>
        </w:rPr>
        <w:t>是/否</w:t>
      </w:r>
      <w:r>
        <w:rPr>
          <w:rFonts w:hint="eastAsia" w:hAnsi="宋体"/>
          <w:bCs/>
          <w:color w:val="auto"/>
          <w:sz w:val="24"/>
          <w:szCs w:val="24"/>
          <w:highlight w:val="none"/>
        </w:rPr>
        <w:t>公告期限：</w:t>
      </w:r>
      <w:r>
        <w:rPr>
          <w:rFonts w:hint="eastAsia" w:hAnsi="宋体"/>
          <w:bCs/>
          <w:color w:val="auto"/>
          <w:sz w:val="24"/>
          <w:szCs w:val="24"/>
          <w:highlight w:val="none"/>
          <w:u w:val="single"/>
        </w:rPr>
        <w:t xml:space="preserve">                                                       </w:t>
      </w:r>
    </w:p>
    <w:p w14:paraId="423C5D4C">
      <w:pPr>
        <w:pStyle w:val="18"/>
        <w:spacing w:line="360" w:lineRule="auto"/>
        <w:ind w:left="25" w:leftChars="12" w:firstLine="472" w:firstLineChars="197"/>
        <w:rPr>
          <w:rFonts w:hAnsi="宋体"/>
          <w:b/>
          <w:color w:val="auto"/>
          <w:sz w:val="24"/>
          <w:szCs w:val="24"/>
          <w:highlight w:val="none"/>
        </w:rPr>
      </w:pPr>
      <w:r>
        <w:rPr>
          <w:rFonts w:hint="eastAsia" w:hAnsi="宋体"/>
          <w:bCs/>
          <w:color w:val="auto"/>
          <w:sz w:val="24"/>
          <w:szCs w:val="24"/>
          <w:highlight w:val="none"/>
        </w:rPr>
        <w:t>采购结果公告：</w:t>
      </w:r>
      <w:r>
        <w:rPr>
          <w:rFonts w:hint="eastAsia" w:hAnsi="宋体"/>
          <w:bCs/>
          <w:color w:val="auto"/>
          <w:sz w:val="24"/>
          <w:szCs w:val="24"/>
          <w:highlight w:val="none"/>
          <w:u w:val="single"/>
        </w:rPr>
        <w:t>是/否</w:t>
      </w:r>
      <w:r>
        <w:rPr>
          <w:rFonts w:hint="eastAsia" w:hAnsi="宋体"/>
          <w:bCs/>
          <w:color w:val="auto"/>
          <w:sz w:val="24"/>
          <w:szCs w:val="24"/>
          <w:highlight w:val="none"/>
        </w:rPr>
        <w:t>公告期限：</w:t>
      </w:r>
      <w:r>
        <w:rPr>
          <w:rFonts w:hint="eastAsia" w:hAnsi="宋体"/>
          <w:bCs/>
          <w:color w:val="auto"/>
          <w:sz w:val="24"/>
          <w:szCs w:val="24"/>
          <w:highlight w:val="none"/>
          <w:u w:val="single"/>
        </w:rPr>
        <w:t xml:space="preserve">                                                       </w:t>
      </w:r>
    </w:p>
    <w:p w14:paraId="105B7A8C">
      <w:pPr>
        <w:pStyle w:val="18"/>
        <w:spacing w:line="360" w:lineRule="auto"/>
        <w:ind w:left="25" w:leftChars="12" w:firstLine="472" w:firstLineChars="196"/>
        <w:rPr>
          <w:rFonts w:hAnsi="宋体"/>
          <w:b/>
          <w:color w:val="auto"/>
          <w:sz w:val="24"/>
          <w:szCs w:val="24"/>
          <w:highlight w:val="none"/>
        </w:rPr>
      </w:pPr>
      <w:r>
        <w:rPr>
          <w:rFonts w:hint="eastAsia" w:hAnsi="宋体"/>
          <w:b/>
          <w:color w:val="auto"/>
          <w:sz w:val="24"/>
          <w:szCs w:val="24"/>
          <w:highlight w:val="none"/>
        </w:rPr>
        <w:t>三、质疑基本情况</w:t>
      </w:r>
    </w:p>
    <w:p w14:paraId="3B8BDE68">
      <w:pPr>
        <w:pStyle w:val="18"/>
        <w:spacing w:line="360" w:lineRule="auto"/>
        <w:ind w:left="25" w:leftChars="12" w:firstLine="952" w:firstLineChars="397"/>
        <w:rPr>
          <w:rFonts w:hAnsi="宋体"/>
          <w:color w:val="auto"/>
          <w:sz w:val="24"/>
          <w:szCs w:val="24"/>
          <w:highlight w:val="none"/>
        </w:rPr>
      </w:pPr>
      <w:r>
        <w:rPr>
          <w:rFonts w:hint="eastAsia" w:hAnsi="宋体"/>
          <w:color w:val="auto"/>
          <w:sz w:val="24"/>
          <w:szCs w:val="24"/>
          <w:highlight w:val="none"/>
        </w:rPr>
        <w:t>投诉人于</w:t>
      </w:r>
      <w:r>
        <w:rPr>
          <w:rFonts w:hint="eastAsia" w:hAnsi="宋体"/>
          <w:color w:val="auto"/>
          <w:sz w:val="24"/>
          <w:szCs w:val="24"/>
          <w:highlight w:val="none"/>
          <w:u w:val="single"/>
        </w:rPr>
        <w:t xml:space="preserve">      </w:t>
      </w:r>
      <w:r>
        <w:rPr>
          <w:rFonts w:hint="eastAsia" w:hAnsi="宋体"/>
          <w:color w:val="auto"/>
          <w:sz w:val="24"/>
          <w:szCs w:val="24"/>
          <w:highlight w:val="none"/>
        </w:rPr>
        <w:t>年</w:t>
      </w:r>
      <w:r>
        <w:rPr>
          <w:rFonts w:hint="eastAsia" w:hAnsi="宋体"/>
          <w:color w:val="auto"/>
          <w:sz w:val="24"/>
          <w:szCs w:val="24"/>
          <w:highlight w:val="none"/>
          <w:u w:val="single"/>
        </w:rPr>
        <w:t xml:space="preserve">   </w:t>
      </w:r>
      <w:r>
        <w:rPr>
          <w:rFonts w:hint="eastAsia" w:hAnsi="宋体"/>
          <w:color w:val="auto"/>
          <w:sz w:val="24"/>
          <w:szCs w:val="24"/>
          <w:highlight w:val="none"/>
        </w:rPr>
        <w:t>月</w:t>
      </w:r>
      <w:r>
        <w:rPr>
          <w:rFonts w:hint="eastAsia" w:hAnsi="宋体"/>
          <w:color w:val="auto"/>
          <w:sz w:val="24"/>
          <w:szCs w:val="24"/>
          <w:highlight w:val="none"/>
          <w:u w:val="single"/>
        </w:rPr>
        <w:t xml:space="preserve">   </w:t>
      </w:r>
      <w:r>
        <w:rPr>
          <w:rFonts w:hint="eastAsia" w:hAnsi="宋体"/>
          <w:color w:val="auto"/>
          <w:sz w:val="24"/>
          <w:szCs w:val="24"/>
          <w:highlight w:val="none"/>
        </w:rPr>
        <w:t>日，向</w:t>
      </w:r>
      <w:r>
        <w:rPr>
          <w:rFonts w:hint="eastAsia" w:hAnsi="宋体"/>
          <w:color w:val="auto"/>
          <w:sz w:val="24"/>
          <w:szCs w:val="24"/>
          <w:highlight w:val="none"/>
          <w:u w:val="single"/>
        </w:rPr>
        <w:t xml:space="preserve">                                </w:t>
      </w:r>
      <w:r>
        <w:rPr>
          <w:rFonts w:hint="eastAsia" w:hAnsi="宋体"/>
          <w:color w:val="auto"/>
          <w:sz w:val="24"/>
          <w:szCs w:val="24"/>
          <w:highlight w:val="none"/>
        </w:rPr>
        <w:t>提出质疑，质疑事项为：</w:t>
      </w:r>
    </w:p>
    <w:p w14:paraId="2A897579">
      <w:pPr>
        <w:pStyle w:val="18"/>
        <w:spacing w:line="360" w:lineRule="auto"/>
        <w:ind w:firstLine="241"/>
        <w:rPr>
          <w:rFonts w:hAnsi="宋体"/>
          <w:bCs/>
          <w:color w:val="auto"/>
          <w:sz w:val="24"/>
          <w:szCs w:val="24"/>
          <w:highlight w:val="none"/>
          <w:u w:val="single"/>
        </w:rPr>
      </w:pPr>
      <w:r>
        <w:rPr>
          <w:rFonts w:hint="eastAsia" w:hAnsi="宋体"/>
          <w:color w:val="auto"/>
          <w:sz w:val="24"/>
          <w:szCs w:val="24"/>
          <w:highlight w:val="none"/>
        </w:rPr>
        <w:t xml:space="preserve">    </w:t>
      </w:r>
      <w:r>
        <w:rPr>
          <w:rFonts w:hint="eastAsia" w:hAnsi="宋体"/>
          <w:bCs/>
          <w:color w:val="auto"/>
          <w:sz w:val="24"/>
          <w:szCs w:val="24"/>
          <w:highlight w:val="none"/>
          <w:u w:val="single"/>
        </w:rPr>
        <w:t xml:space="preserve">                                                                                      </w:t>
      </w:r>
    </w:p>
    <w:p w14:paraId="1AB85980">
      <w:pPr>
        <w:pStyle w:val="18"/>
        <w:spacing w:line="360" w:lineRule="auto"/>
        <w:ind w:firstLine="241"/>
        <w:rPr>
          <w:rFonts w:hAnsi="宋体"/>
          <w:bCs/>
          <w:color w:val="auto"/>
          <w:sz w:val="24"/>
          <w:szCs w:val="24"/>
          <w:highlight w:val="none"/>
          <w:u w:val="single"/>
        </w:rPr>
      </w:pPr>
      <w:r>
        <w:rPr>
          <w:rFonts w:hint="eastAsia" w:hAnsi="宋体"/>
          <w:bCs/>
          <w:color w:val="auto"/>
          <w:sz w:val="24"/>
          <w:szCs w:val="24"/>
          <w:highlight w:val="none"/>
        </w:rPr>
        <w:t xml:space="preserve">    </w:t>
      </w:r>
      <w:r>
        <w:rPr>
          <w:rFonts w:hint="eastAsia" w:hAnsi="宋体"/>
          <w:bCs/>
          <w:color w:val="auto"/>
          <w:sz w:val="24"/>
          <w:szCs w:val="24"/>
          <w:highlight w:val="none"/>
          <w:u w:val="single"/>
        </w:rPr>
        <w:t xml:space="preserve">                                                                                      </w:t>
      </w:r>
    </w:p>
    <w:p w14:paraId="7C3E238C">
      <w:pPr>
        <w:pStyle w:val="18"/>
        <w:spacing w:line="360" w:lineRule="auto"/>
        <w:ind w:firstLine="241"/>
        <w:rPr>
          <w:rFonts w:hAnsi="宋体"/>
          <w:color w:val="auto"/>
          <w:sz w:val="24"/>
          <w:szCs w:val="24"/>
          <w:highlight w:val="none"/>
        </w:rPr>
      </w:pPr>
      <w:r>
        <w:rPr>
          <w:rFonts w:hint="eastAsia" w:hAnsi="宋体"/>
          <w:bCs/>
          <w:color w:val="auto"/>
          <w:sz w:val="24"/>
          <w:szCs w:val="24"/>
          <w:highlight w:val="none"/>
        </w:rPr>
        <w:t xml:space="preserve">        </w:t>
      </w:r>
      <w:r>
        <w:rPr>
          <w:rFonts w:hint="eastAsia" w:hAnsi="宋体"/>
          <w:bCs/>
          <w:color w:val="auto"/>
          <w:sz w:val="24"/>
          <w:szCs w:val="24"/>
          <w:highlight w:val="none"/>
          <w:u w:val="single"/>
        </w:rPr>
        <w:t>采购人/代理机构</w:t>
      </w:r>
      <w:r>
        <w:rPr>
          <w:rFonts w:hint="eastAsia" w:hAnsi="宋体"/>
          <w:bCs/>
          <w:color w:val="auto"/>
          <w:sz w:val="24"/>
          <w:szCs w:val="24"/>
          <w:highlight w:val="none"/>
        </w:rPr>
        <w:t>于</w:t>
      </w:r>
      <w:r>
        <w:rPr>
          <w:rFonts w:hint="eastAsia" w:hAnsi="宋体"/>
          <w:color w:val="auto"/>
          <w:sz w:val="24"/>
          <w:szCs w:val="24"/>
          <w:highlight w:val="none"/>
          <w:u w:val="single"/>
        </w:rPr>
        <w:t xml:space="preserve">      </w:t>
      </w:r>
      <w:r>
        <w:rPr>
          <w:rFonts w:hint="eastAsia" w:hAnsi="宋体"/>
          <w:color w:val="auto"/>
          <w:sz w:val="24"/>
          <w:szCs w:val="24"/>
          <w:highlight w:val="none"/>
        </w:rPr>
        <w:t>年</w:t>
      </w:r>
      <w:r>
        <w:rPr>
          <w:rFonts w:hint="eastAsia" w:hAnsi="宋体"/>
          <w:color w:val="auto"/>
          <w:sz w:val="24"/>
          <w:szCs w:val="24"/>
          <w:highlight w:val="none"/>
          <w:u w:val="single"/>
        </w:rPr>
        <w:t xml:space="preserve">   </w:t>
      </w:r>
      <w:r>
        <w:rPr>
          <w:rFonts w:hint="eastAsia" w:hAnsi="宋体"/>
          <w:color w:val="auto"/>
          <w:sz w:val="24"/>
          <w:szCs w:val="24"/>
          <w:highlight w:val="none"/>
        </w:rPr>
        <w:t>月</w:t>
      </w:r>
      <w:r>
        <w:rPr>
          <w:rFonts w:hint="eastAsia" w:hAnsi="宋体"/>
          <w:color w:val="auto"/>
          <w:sz w:val="24"/>
          <w:szCs w:val="24"/>
          <w:highlight w:val="none"/>
          <w:u w:val="single"/>
        </w:rPr>
        <w:t xml:space="preserve">   </w:t>
      </w:r>
      <w:r>
        <w:rPr>
          <w:rFonts w:hint="eastAsia" w:hAnsi="宋体"/>
          <w:color w:val="auto"/>
          <w:sz w:val="24"/>
          <w:szCs w:val="24"/>
          <w:highlight w:val="none"/>
        </w:rPr>
        <w:t>日，</w:t>
      </w:r>
      <w:r>
        <w:rPr>
          <w:rFonts w:hint="eastAsia" w:hAnsi="宋体"/>
          <w:bCs/>
          <w:color w:val="auto"/>
          <w:sz w:val="24"/>
          <w:szCs w:val="24"/>
          <w:highlight w:val="none"/>
        </w:rPr>
        <w:t xml:space="preserve">就质疑事项作出了答复/没有在法定期限内作出答复。                                                                                             </w:t>
      </w:r>
    </w:p>
    <w:p w14:paraId="5C8CD42C">
      <w:pPr>
        <w:pStyle w:val="18"/>
        <w:spacing w:line="360" w:lineRule="auto"/>
        <w:ind w:left="25" w:leftChars="12" w:firstLine="472" w:firstLineChars="196"/>
        <w:rPr>
          <w:rFonts w:hAnsi="宋体"/>
          <w:b/>
          <w:color w:val="auto"/>
          <w:sz w:val="24"/>
          <w:szCs w:val="24"/>
          <w:highlight w:val="none"/>
        </w:rPr>
      </w:pPr>
      <w:r>
        <w:rPr>
          <w:rFonts w:hint="eastAsia" w:hAnsi="宋体"/>
          <w:b/>
          <w:color w:val="auto"/>
          <w:sz w:val="24"/>
          <w:szCs w:val="24"/>
          <w:highlight w:val="none"/>
        </w:rPr>
        <w:t>四、投诉事项具体内容</w:t>
      </w:r>
    </w:p>
    <w:p w14:paraId="45A2F8AD">
      <w:pPr>
        <w:pStyle w:val="18"/>
        <w:spacing w:line="360" w:lineRule="auto"/>
        <w:ind w:left="25" w:leftChars="12" w:firstLine="472" w:firstLineChars="197"/>
        <w:rPr>
          <w:rFonts w:hAnsi="宋体"/>
          <w:bCs/>
          <w:color w:val="auto"/>
          <w:sz w:val="24"/>
          <w:szCs w:val="24"/>
          <w:highlight w:val="none"/>
          <w:u w:val="single"/>
        </w:rPr>
      </w:pPr>
      <w:r>
        <w:rPr>
          <w:rFonts w:hint="eastAsia" w:hAnsi="宋体"/>
          <w:color w:val="auto"/>
          <w:sz w:val="24"/>
          <w:szCs w:val="24"/>
          <w:highlight w:val="none"/>
        </w:rPr>
        <w:t>投诉事项1：</w:t>
      </w:r>
      <w:r>
        <w:rPr>
          <w:rFonts w:hint="eastAsia" w:hAnsi="宋体"/>
          <w:bCs/>
          <w:color w:val="auto"/>
          <w:sz w:val="24"/>
          <w:szCs w:val="24"/>
          <w:highlight w:val="none"/>
          <w:u w:val="single"/>
        </w:rPr>
        <w:t xml:space="preserve">                                                                           </w:t>
      </w:r>
    </w:p>
    <w:p w14:paraId="4B29917E">
      <w:pPr>
        <w:pStyle w:val="18"/>
        <w:spacing w:line="360" w:lineRule="auto"/>
        <w:ind w:firstLine="480" w:firstLineChars="200"/>
        <w:rPr>
          <w:rFonts w:hAnsi="宋体"/>
          <w:bCs/>
          <w:color w:val="auto"/>
          <w:sz w:val="24"/>
          <w:szCs w:val="24"/>
          <w:highlight w:val="none"/>
          <w:u w:val="single"/>
        </w:rPr>
      </w:pPr>
      <w:r>
        <w:rPr>
          <w:rFonts w:hint="eastAsia" w:hAnsi="宋体"/>
          <w:bCs/>
          <w:color w:val="auto"/>
          <w:sz w:val="24"/>
          <w:szCs w:val="24"/>
          <w:highlight w:val="none"/>
        </w:rPr>
        <w:t>事实依据：</w:t>
      </w:r>
      <w:r>
        <w:rPr>
          <w:rFonts w:hint="eastAsia" w:hAnsi="宋体"/>
          <w:color w:val="auto"/>
          <w:sz w:val="24"/>
          <w:szCs w:val="24"/>
          <w:highlight w:val="none"/>
        </w:rPr>
        <w:t xml:space="preserve"> </w:t>
      </w:r>
      <w:r>
        <w:rPr>
          <w:rFonts w:hint="eastAsia" w:hAnsi="宋体"/>
          <w:bCs/>
          <w:color w:val="auto"/>
          <w:sz w:val="24"/>
          <w:szCs w:val="24"/>
          <w:highlight w:val="none"/>
          <w:u w:val="single"/>
        </w:rPr>
        <w:t xml:space="preserve">                                                                                      </w:t>
      </w:r>
    </w:p>
    <w:p w14:paraId="7CC828FE">
      <w:pPr>
        <w:pStyle w:val="18"/>
        <w:spacing w:line="360" w:lineRule="auto"/>
        <w:ind w:left="25" w:leftChars="12" w:firstLine="472" w:firstLineChars="197"/>
        <w:rPr>
          <w:rFonts w:hAnsi="宋体"/>
          <w:color w:val="auto"/>
          <w:sz w:val="24"/>
          <w:szCs w:val="24"/>
          <w:highlight w:val="none"/>
        </w:rPr>
      </w:pPr>
      <w:r>
        <w:rPr>
          <w:rFonts w:hint="eastAsia" w:hAnsi="宋体"/>
          <w:bCs/>
          <w:color w:val="auto"/>
          <w:sz w:val="24"/>
          <w:szCs w:val="24"/>
          <w:highlight w:val="none"/>
          <w:u w:val="single"/>
        </w:rPr>
        <w:t xml:space="preserve">                                                                                        </w:t>
      </w:r>
    </w:p>
    <w:p w14:paraId="6592ADB4">
      <w:pPr>
        <w:pStyle w:val="18"/>
        <w:spacing w:line="360" w:lineRule="auto"/>
        <w:ind w:firstLine="480" w:firstLineChars="200"/>
        <w:rPr>
          <w:rFonts w:hAnsi="宋体"/>
          <w:bCs/>
          <w:color w:val="auto"/>
          <w:sz w:val="24"/>
          <w:szCs w:val="24"/>
          <w:highlight w:val="none"/>
          <w:u w:val="single"/>
        </w:rPr>
      </w:pPr>
      <w:r>
        <w:rPr>
          <w:rFonts w:hint="eastAsia" w:hAnsi="宋体"/>
          <w:bCs/>
          <w:color w:val="auto"/>
          <w:sz w:val="24"/>
          <w:szCs w:val="24"/>
          <w:highlight w:val="none"/>
        </w:rPr>
        <w:t>法律依据：</w:t>
      </w:r>
      <w:r>
        <w:rPr>
          <w:rFonts w:hint="eastAsia" w:hAnsi="宋体"/>
          <w:color w:val="auto"/>
          <w:sz w:val="24"/>
          <w:szCs w:val="24"/>
          <w:highlight w:val="none"/>
        </w:rPr>
        <w:t xml:space="preserve"> </w:t>
      </w:r>
      <w:r>
        <w:rPr>
          <w:rFonts w:hint="eastAsia" w:hAnsi="宋体"/>
          <w:bCs/>
          <w:color w:val="auto"/>
          <w:sz w:val="24"/>
          <w:szCs w:val="24"/>
          <w:highlight w:val="none"/>
          <w:u w:val="single"/>
        </w:rPr>
        <w:t xml:space="preserve">                                                                                      </w:t>
      </w:r>
    </w:p>
    <w:p w14:paraId="51A23867">
      <w:pPr>
        <w:pStyle w:val="18"/>
        <w:spacing w:line="360" w:lineRule="auto"/>
        <w:ind w:left="25" w:leftChars="12" w:firstLine="352" w:firstLineChars="147"/>
        <w:rPr>
          <w:rFonts w:hAnsi="宋体"/>
          <w:bCs/>
          <w:color w:val="auto"/>
          <w:sz w:val="24"/>
          <w:szCs w:val="24"/>
          <w:highlight w:val="none"/>
          <w:u w:val="single"/>
        </w:rPr>
      </w:pPr>
      <w:r>
        <w:rPr>
          <w:rFonts w:hint="eastAsia" w:hAnsi="宋体"/>
          <w:bCs/>
          <w:color w:val="auto"/>
          <w:sz w:val="24"/>
          <w:szCs w:val="24"/>
          <w:highlight w:val="none"/>
        </w:rPr>
        <w:t xml:space="preserve"> </w:t>
      </w:r>
      <w:r>
        <w:rPr>
          <w:rFonts w:hint="eastAsia" w:hAnsi="宋体"/>
          <w:bCs/>
          <w:color w:val="auto"/>
          <w:sz w:val="24"/>
          <w:szCs w:val="24"/>
          <w:highlight w:val="none"/>
          <w:u w:val="single"/>
        </w:rPr>
        <w:t xml:space="preserve">                                                                                        </w:t>
      </w:r>
    </w:p>
    <w:p w14:paraId="39936F78">
      <w:pPr>
        <w:pStyle w:val="18"/>
        <w:spacing w:line="360" w:lineRule="auto"/>
        <w:ind w:left="25" w:leftChars="12" w:firstLine="472" w:firstLineChars="197"/>
        <w:rPr>
          <w:rFonts w:hAnsi="宋体"/>
          <w:bCs/>
          <w:color w:val="auto"/>
          <w:sz w:val="24"/>
          <w:szCs w:val="24"/>
          <w:highlight w:val="none"/>
        </w:rPr>
      </w:pPr>
      <w:r>
        <w:rPr>
          <w:rFonts w:hint="eastAsia" w:hAnsi="宋体"/>
          <w:color w:val="auto"/>
          <w:sz w:val="24"/>
          <w:szCs w:val="24"/>
          <w:highlight w:val="none"/>
        </w:rPr>
        <w:t xml:space="preserve">投诉事项2  </w:t>
      </w:r>
      <w:r>
        <w:rPr>
          <w:rFonts w:hint="eastAsia" w:hAnsi="宋体"/>
          <w:bCs/>
          <w:color w:val="auto"/>
          <w:sz w:val="24"/>
          <w:szCs w:val="24"/>
          <w:highlight w:val="none"/>
        </w:rPr>
        <w:t xml:space="preserve">   </w:t>
      </w:r>
    </w:p>
    <w:p w14:paraId="0E0F2E99">
      <w:pPr>
        <w:pStyle w:val="18"/>
        <w:spacing w:line="360" w:lineRule="auto"/>
        <w:ind w:left="25" w:leftChars="12" w:firstLine="472" w:firstLineChars="197"/>
        <w:rPr>
          <w:rFonts w:hAnsi="宋体"/>
          <w:bCs/>
          <w:color w:val="auto"/>
          <w:sz w:val="24"/>
          <w:szCs w:val="24"/>
          <w:highlight w:val="none"/>
        </w:rPr>
      </w:pPr>
      <w:r>
        <w:rPr>
          <w:rFonts w:hAnsi="宋体"/>
          <w:bCs/>
          <w:color w:val="auto"/>
          <w:sz w:val="24"/>
          <w:szCs w:val="24"/>
          <w:highlight w:val="none"/>
        </w:rPr>
        <w:t>……</w:t>
      </w:r>
    </w:p>
    <w:p w14:paraId="7AB0EA76">
      <w:pPr>
        <w:pStyle w:val="18"/>
        <w:spacing w:line="360" w:lineRule="auto"/>
        <w:ind w:left="25" w:leftChars="12" w:firstLine="472" w:firstLineChars="196"/>
        <w:rPr>
          <w:rFonts w:hAnsi="宋体"/>
          <w:b/>
          <w:color w:val="auto"/>
          <w:sz w:val="24"/>
          <w:szCs w:val="24"/>
          <w:highlight w:val="none"/>
        </w:rPr>
      </w:pPr>
      <w:r>
        <w:rPr>
          <w:rFonts w:hint="eastAsia" w:hAnsi="宋体"/>
          <w:b/>
          <w:color w:val="auto"/>
          <w:sz w:val="24"/>
          <w:szCs w:val="24"/>
          <w:highlight w:val="none"/>
        </w:rPr>
        <w:t>五、与投诉事项相关的投诉请求：</w:t>
      </w:r>
    </w:p>
    <w:p w14:paraId="31A63407">
      <w:pPr>
        <w:pStyle w:val="18"/>
        <w:spacing w:line="360" w:lineRule="auto"/>
        <w:ind w:left="25" w:leftChars="12" w:firstLine="472" w:firstLineChars="197"/>
        <w:rPr>
          <w:rFonts w:hAnsi="宋体"/>
          <w:color w:val="auto"/>
          <w:sz w:val="24"/>
          <w:szCs w:val="24"/>
          <w:highlight w:val="none"/>
        </w:rPr>
      </w:pPr>
      <w:r>
        <w:rPr>
          <w:rFonts w:hint="eastAsia" w:hAnsi="宋体"/>
          <w:color w:val="auto"/>
          <w:sz w:val="24"/>
          <w:szCs w:val="24"/>
          <w:highlight w:val="none"/>
        </w:rPr>
        <w:t>请求：</w:t>
      </w:r>
      <w:r>
        <w:rPr>
          <w:rFonts w:hint="eastAsia" w:hAnsi="宋体"/>
          <w:bCs/>
          <w:color w:val="auto"/>
          <w:sz w:val="24"/>
          <w:szCs w:val="24"/>
          <w:highlight w:val="none"/>
          <w:u w:val="single"/>
        </w:rPr>
        <w:t xml:space="preserve">                                                                                 </w:t>
      </w:r>
    </w:p>
    <w:p w14:paraId="764E62D1">
      <w:pPr>
        <w:pStyle w:val="18"/>
        <w:spacing w:line="360" w:lineRule="auto"/>
        <w:ind w:left="25" w:leftChars="12" w:firstLine="352" w:firstLineChars="147"/>
        <w:rPr>
          <w:rFonts w:hAnsi="宋体"/>
          <w:color w:val="auto"/>
          <w:sz w:val="24"/>
          <w:szCs w:val="24"/>
          <w:highlight w:val="none"/>
        </w:rPr>
      </w:pPr>
    </w:p>
    <w:p w14:paraId="629A82A8">
      <w:pPr>
        <w:pStyle w:val="18"/>
        <w:spacing w:line="360" w:lineRule="auto"/>
        <w:ind w:left="25" w:leftChars="12" w:firstLine="472" w:firstLineChars="197"/>
        <w:rPr>
          <w:rFonts w:hAnsi="宋体"/>
          <w:color w:val="auto"/>
          <w:sz w:val="24"/>
          <w:szCs w:val="24"/>
          <w:highlight w:val="none"/>
        </w:rPr>
      </w:pPr>
      <w:r>
        <w:rPr>
          <w:rFonts w:hint="eastAsia" w:hAnsi="宋体"/>
          <w:color w:val="auto"/>
          <w:sz w:val="24"/>
          <w:szCs w:val="24"/>
          <w:highlight w:val="none"/>
        </w:rPr>
        <w:t>签字（签章）：                                       公章：</w:t>
      </w:r>
    </w:p>
    <w:p w14:paraId="48B2CB03">
      <w:pPr>
        <w:pStyle w:val="18"/>
        <w:spacing w:line="360" w:lineRule="auto"/>
        <w:ind w:left="25" w:leftChars="12" w:firstLine="352" w:firstLineChars="147"/>
        <w:rPr>
          <w:rFonts w:hAnsi="宋体"/>
          <w:color w:val="auto"/>
          <w:sz w:val="24"/>
          <w:szCs w:val="24"/>
          <w:highlight w:val="none"/>
        </w:rPr>
      </w:pPr>
    </w:p>
    <w:p w14:paraId="404B288F">
      <w:pPr>
        <w:pStyle w:val="18"/>
        <w:spacing w:line="360" w:lineRule="auto"/>
        <w:ind w:left="25" w:leftChars="12" w:firstLine="472" w:firstLineChars="197"/>
        <w:rPr>
          <w:rFonts w:hAnsi="宋体"/>
          <w:color w:val="auto"/>
          <w:sz w:val="24"/>
          <w:szCs w:val="24"/>
          <w:highlight w:val="none"/>
        </w:rPr>
      </w:pPr>
      <w:r>
        <w:rPr>
          <w:rFonts w:hint="eastAsia" w:hAnsi="宋体"/>
          <w:color w:val="auto"/>
          <w:sz w:val="24"/>
          <w:szCs w:val="24"/>
          <w:highlight w:val="none"/>
        </w:rPr>
        <w:t>日期：</w:t>
      </w:r>
    </w:p>
    <w:p w14:paraId="533F76A2">
      <w:pPr>
        <w:pStyle w:val="18"/>
        <w:spacing w:line="360" w:lineRule="auto"/>
        <w:ind w:left="25" w:leftChars="12" w:firstLine="472" w:firstLineChars="197"/>
        <w:rPr>
          <w:rFonts w:hAnsi="宋体"/>
          <w:color w:val="auto"/>
          <w:sz w:val="24"/>
          <w:szCs w:val="24"/>
          <w:highlight w:val="none"/>
        </w:rPr>
      </w:pPr>
      <w:r>
        <w:rPr>
          <w:rFonts w:hint="eastAsia" w:hAnsi="宋体"/>
          <w:bCs/>
          <w:color w:val="auto"/>
          <w:sz w:val="24"/>
          <w:szCs w:val="24"/>
          <w:highlight w:val="none"/>
        </w:rPr>
        <w:t xml:space="preserve">                                                                                 </w:t>
      </w:r>
    </w:p>
    <w:p w14:paraId="2551368A">
      <w:pPr>
        <w:pStyle w:val="18"/>
        <w:snapToGrid w:val="0"/>
        <w:spacing w:line="360" w:lineRule="auto"/>
        <w:rPr>
          <w:rFonts w:hAnsi="宋体"/>
          <w:b/>
          <w:color w:val="auto"/>
          <w:sz w:val="24"/>
          <w:szCs w:val="24"/>
          <w:highlight w:val="none"/>
        </w:rPr>
      </w:pPr>
    </w:p>
    <w:p w14:paraId="55EE4B9A">
      <w:pPr>
        <w:pStyle w:val="18"/>
        <w:snapToGrid w:val="0"/>
        <w:spacing w:line="360" w:lineRule="auto"/>
        <w:rPr>
          <w:rFonts w:hAnsi="宋体"/>
          <w:b/>
          <w:color w:val="auto"/>
          <w:sz w:val="24"/>
          <w:szCs w:val="24"/>
          <w:highlight w:val="none"/>
        </w:rPr>
      </w:pPr>
      <w:r>
        <w:rPr>
          <w:rFonts w:hint="eastAsia" w:hAnsi="宋体"/>
          <w:b/>
          <w:color w:val="auto"/>
          <w:sz w:val="24"/>
          <w:szCs w:val="24"/>
          <w:highlight w:val="none"/>
        </w:rPr>
        <w:t>说明：</w:t>
      </w:r>
    </w:p>
    <w:p w14:paraId="51784F5C">
      <w:pPr>
        <w:pStyle w:val="18"/>
        <w:spacing w:line="360" w:lineRule="auto"/>
        <w:ind w:left="25" w:leftChars="12" w:firstLine="354" w:firstLineChars="147"/>
        <w:rPr>
          <w:rFonts w:hAnsi="宋体"/>
          <w:b/>
          <w:bCs/>
          <w:color w:val="auto"/>
          <w:sz w:val="24"/>
          <w:szCs w:val="24"/>
          <w:highlight w:val="none"/>
        </w:rPr>
      </w:pPr>
      <w:r>
        <w:rPr>
          <w:rFonts w:hint="eastAsia" w:hAnsi="宋体"/>
          <w:b/>
          <w:color w:val="auto"/>
          <w:sz w:val="24"/>
          <w:szCs w:val="24"/>
          <w:highlight w:val="none"/>
        </w:rPr>
        <w:t>1.投诉人提起投诉时，应当提交投诉书和必要的证明材料，并按照被投诉人和与投诉事项有关的供应商数量提供投诉书副本</w:t>
      </w:r>
      <w:r>
        <w:rPr>
          <w:rFonts w:hint="eastAsia" w:hAnsi="宋体"/>
          <w:b/>
          <w:bCs/>
          <w:color w:val="auto"/>
          <w:sz w:val="24"/>
          <w:szCs w:val="24"/>
          <w:highlight w:val="none"/>
        </w:rPr>
        <w:t>。</w:t>
      </w:r>
    </w:p>
    <w:p w14:paraId="24D3CE6B">
      <w:pPr>
        <w:pStyle w:val="18"/>
        <w:spacing w:line="360" w:lineRule="auto"/>
        <w:ind w:left="25" w:leftChars="12" w:firstLine="354" w:firstLineChars="147"/>
        <w:rPr>
          <w:rFonts w:hAnsi="宋体"/>
          <w:b/>
          <w:color w:val="auto"/>
          <w:sz w:val="24"/>
          <w:szCs w:val="24"/>
          <w:highlight w:val="none"/>
        </w:rPr>
      </w:pPr>
      <w:r>
        <w:rPr>
          <w:rFonts w:hint="eastAsia" w:hAnsi="宋体"/>
          <w:b/>
          <w:color w:val="auto"/>
          <w:sz w:val="24"/>
          <w:szCs w:val="24"/>
          <w:highlight w:val="none"/>
        </w:rPr>
        <w:t>2.投诉人若委托代理人进行投诉的，投诉书应按要求列明“授权代表”的有关内容，并在附件中提交由投诉人签署的授权委托书。授权委托书应当载明代理人的姓名或者名称、代理事项、具体权限、期限和相关事项。</w:t>
      </w:r>
    </w:p>
    <w:p w14:paraId="51D3B4B3">
      <w:pPr>
        <w:pStyle w:val="18"/>
        <w:spacing w:line="360" w:lineRule="auto"/>
        <w:ind w:left="25" w:leftChars="12" w:firstLine="354" w:firstLineChars="147"/>
        <w:rPr>
          <w:rFonts w:hAnsi="宋体"/>
          <w:b/>
          <w:color w:val="auto"/>
          <w:sz w:val="24"/>
          <w:szCs w:val="24"/>
          <w:highlight w:val="none"/>
        </w:rPr>
      </w:pPr>
      <w:r>
        <w:rPr>
          <w:rFonts w:hint="eastAsia" w:hAnsi="宋体"/>
          <w:b/>
          <w:color w:val="auto"/>
          <w:sz w:val="24"/>
          <w:szCs w:val="24"/>
          <w:highlight w:val="none"/>
        </w:rPr>
        <w:t>3.投诉书应简要列明质疑事项，质疑函、质疑答复等作为附件材料提供。</w:t>
      </w:r>
    </w:p>
    <w:p w14:paraId="5D126D60">
      <w:pPr>
        <w:pStyle w:val="18"/>
        <w:spacing w:line="360" w:lineRule="auto"/>
        <w:ind w:left="25" w:leftChars="12" w:firstLine="354" w:firstLineChars="147"/>
        <w:rPr>
          <w:rFonts w:hAnsi="宋体"/>
          <w:b/>
          <w:color w:val="auto"/>
          <w:sz w:val="24"/>
          <w:szCs w:val="24"/>
          <w:highlight w:val="none"/>
        </w:rPr>
      </w:pPr>
      <w:r>
        <w:rPr>
          <w:rFonts w:hint="eastAsia" w:hAnsi="宋体"/>
          <w:b/>
          <w:color w:val="auto"/>
          <w:sz w:val="24"/>
          <w:szCs w:val="24"/>
          <w:highlight w:val="none"/>
        </w:rPr>
        <w:t>4.投诉书的投诉事项应具体、明确，并有必要的事实依据和法律依据。</w:t>
      </w:r>
    </w:p>
    <w:p w14:paraId="3D1A4C9A">
      <w:pPr>
        <w:pStyle w:val="18"/>
        <w:spacing w:line="360" w:lineRule="auto"/>
        <w:ind w:left="25" w:leftChars="12" w:firstLine="354" w:firstLineChars="147"/>
        <w:rPr>
          <w:rFonts w:hAnsi="宋体"/>
          <w:b/>
          <w:color w:val="auto"/>
          <w:sz w:val="24"/>
          <w:szCs w:val="24"/>
          <w:highlight w:val="none"/>
        </w:rPr>
      </w:pPr>
      <w:r>
        <w:rPr>
          <w:rFonts w:hint="eastAsia" w:hAnsi="宋体"/>
          <w:b/>
          <w:color w:val="auto"/>
          <w:sz w:val="24"/>
          <w:szCs w:val="24"/>
          <w:highlight w:val="none"/>
        </w:rPr>
        <w:t>5.投诉书的投诉请求应与投诉事项相关。</w:t>
      </w:r>
    </w:p>
    <w:p w14:paraId="2F3588A5">
      <w:pPr>
        <w:pStyle w:val="18"/>
        <w:spacing w:line="360" w:lineRule="auto"/>
        <w:ind w:left="25" w:leftChars="12" w:firstLine="354" w:firstLineChars="147"/>
        <w:rPr>
          <w:rFonts w:hAnsi="宋体"/>
          <w:b/>
          <w:color w:val="auto"/>
          <w:highlight w:val="none"/>
        </w:rPr>
      </w:pPr>
      <w:r>
        <w:rPr>
          <w:rFonts w:hint="eastAsia" w:hAnsi="宋体"/>
          <w:b/>
          <w:color w:val="auto"/>
          <w:sz w:val="24"/>
          <w:szCs w:val="24"/>
          <w:highlight w:val="none"/>
        </w:rPr>
        <w:t>6.投诉人为法人或者其他组织的，投诉书应由法定代表人、主要负责人，或者其授权代表签字或者盖章，并加盖公章。</w:t>
      </w:r>
    </w:p>
    <w:p w14:paraId="3959E02F">
      <w:pPr>
        <w:spacing w:line="360" w:lineRule="auto"/>
        <w:rPr>
          <w:rFonts w:ascii="仿宋_GB2312" w:hAnsi="仿宋_GB2312" w:eastAsia="仿宋_GB2312" w:cs="仿宋_GB2312"/>
          <w:color w:val="auto"/>
          <w:sz w:val="32"/>
          <w:szCs w:val="32"/>
          <w:highlight w:val="none"/>
        </w:rPr>
      </w:pPr>
    </w:p>
    <w:p w14:paraId="67E62A2E">
      <w:pPr>
        <w:spacing w:line="520" w:lineRule="exact"/>
        <w:rPr>
          <w:rFonts w:ascii="仿宋_GB2312" w:hAnsi="仿宋_GB2312" w:eastAsia="仿宋_GB2312" w:cs="仿宋_GB2312"/>
          <w:color w:val="auto"/>
          <w:sz w:val="32"/>
          <w:szCs w:val="32"/>
          <w:highlight w:val="none"/>
        </w:rPr>
      </w:pPr>
    </w:p>
    <w:p w14:paraId="0497F813">
      <w:pPr>
        <w:spacing w:line="520" w:lineRule="exact"/>
        <w:rPr>
          <w:rFonts w:ascii="仿宋_GB2312" w:hAnsi="仿宋_GB2312" w:eastAsia="仿宋_GB2312" w:cs="仿宋_GB2312"/>
          <w:color w:val="auto"/>
          <w:sz w:val="32"/>
          <w:szCs w:val="32"/>
          <w:highlight w:val="none"/>
        </w:rPr>
      </w:pPr>
    </w:p>
    <w:p w14:paraId="33242A2D">
      <w:pPr>
        <w:jc w:val="center"/>
        <w:outlineLvl w:val="0"/>
        <w:rPr>
          <w:color w:val="auto"/>
          <w:highlight w:val="none"/>
        </w:rPr>
      </w:pPr>
      <w:bookmarkStart w:id="186" w:name="_Toc44229900"/>
      <w:r>
        <w:rPr>
          <w:color w:val="auto"/>
          <w:highlight w:val="none"/>
        </w:rPr>
        <w:br w:type="page"/>
      </w:r>
      <w:bookmarkStart w:id="187" w:name="_Toc13304"/>
      <w:bookmarkStart w:id="188" w:name="_Toc3302"/>
      <w:bookmarkStart w:id="189" w:name="_Toc13693"/>
      <w:r>
        <w:rPr>
          <w:rStyle w:val="56"/>
          <w:rFonts w:hint="eastAsia"/>
          <w:color w:val="auto"/>
          <w:sz w:val="32"/>
          <w:szCs w:val="32"/>
          <w:highlight w:val="none"/>
        </w:rPr>
        <w:t>第六章 合同文本</w:t>
      </w:r>
      <w:bookmarkEnd w:id="186"/>
      <w:bookmarkEnd w:id="187"/>
      <w:bookmarkEnd w:id="188"/>
      <w:bookmarkEnd w:id="189"/>
    </w:p>
    <w:p w14:paraId="5DA46327">
      <w:pPr>
        <w:spacing w:line="360" w:lineRule="auto"/>
        <w:ind w:right="800"/>
        <w:jc w:val="center"/>
        <w:rPr>
          <w:rFonts w:hint="eastAsia" w:ascii="宋体" w:hAnsi="宋体" w:cs="宋体"/>
          <w:bCs/>
          <w:color w:val="auto"/>
          <w:szCs w:val="21"/>
          <w:highlight w:val="none"/>
        </w:rPr>
      </w:pPr>
      <w:r>
        <w:rPr>
          <w:rFonts w:hint="eastAsia" w:cs="宋体"/>
          <w:b/>
          <w:color w:val="auto"/>
          <w:sz w:val="21"/>
          <w:highlight w:val="none"/>
          <w:lang w:bidi="ar-SA"/>
        </w:rPr>
        <w:t>说明：本合同书仅供签订正式合同时参考用，项目合同成交后由采购人和成交供应商根据本采购文件和相关法律法规自行补充修改完善。</w:t>
      </w:r>
    </w:p>
    <w:p w14:paraId="670CD10A">
      <w:pPr>
        <w:spacing w:line="360" w:lineRule="auto"/>
        <w:ind w:right="800"/>
        <w:rPr>
          <w:rFonts w:hint="eastAsia" w:ascii="宋体" w:hAnsi="宋体" w:cs="宋体"/>
          <w:bCs/>
          <w:color w:val="auto"/>
          <w:szCs w:val="21"/>
          <w:highlight w:val="none"/>
        </w:rPr>
      </w:pPr>
    </w:p>
    <w:p w14:paraId="7CF48424">
      <w:pPr>
        <w:spacing w:line="360" w:lineRule="auto"/>
        <w:ind w:right="800"/>
        <w:rPr>
          <w:rFonts w:ascii="宋体" w:hAnsi="宋体" w:cs="宋体"/>
          <w:bCs/>
          <w:color w:val="auto"/>
          <w:szCs w:val="21"/>
          <w:highlight w:val="none"/>
          <w:u w:val="single"/>
        </w:rPr>
      </w:pPr>
      <w:r>
        <w:rPr>
          <w:rFonts w:hint="eastAsia" w:ascii="宋体" w:hAnsi="宋体" w:cs="宋体"/>
          <w:bCs/>
          <w:color w:val="auto"/>
          <w:szCs w:val="21"/>
          <w:highlight w:val="none"/>
        </w:rPr>
        <w:t>合同编号：</w:t>
      </w:r>
      <w:r>
        <w:rPr>
          <w:rFonts w:ascii="宋体" w:hAnsi="宋体" w:cs="宋体"/>
          <w:color w:val="auto"/>
          <w:szCs w:val="21"/>
          <w:highlight w:val="none"/>
          <w:u w:val="single"/>
        </w:rPr>
        <w:t xml:space="preserve">         </w:t>
      </w:r>
      <w:r>
        <w:rPr>
          <w:rFonts w:hint="eastAsia" w:ascii="宋体" w:hAnsi="宋体" w:cs="宋体"/>
          <w:color w:val="auto"/>
          <w:szCs w:val="21"/>
          <w:highlight w:val="none"/>
          <w:u w:val="single"/>
        </w:rPr>
        <w:t xml:space="preserve">                  </w:t>
      </w:r>
    </w:p>
    <w:p w14:paraId="37629CCA">
      <w:pPr>
        <w:spacing w:line="360" w:lineRule="auto"/>
        <w:rPr>
          <w:rFonts w:ascii="宋体" w:hAnsi="宋体" w:cs="宋体"/>
          <w:color w:val="auto"/>
          <w:szCs w:val="21"/>
          <w:highlight w:val="none"/>
          <w:u w:val="single"/>
        </w:rPr>
      </w:pPr>
      <w:r>
        <w:rPr>
          <w:rFonts w:hint="eastAsia" w:ascii="宋体" w:hAnsi="宋体" w:cs="宋体"/>
          <w:color w:val="auto"/>
          <w:szCs w:val="21"/>
          <w:highlight w:val="none"/>
        </w:rPr>
        <w:t>采购人（甲方）：</w:t>
      </w:r>
      <w:r>
        <w:rPr>
          <w:rFonts w:hint="eastAsia" w:ascii="宋体" w:hAnsi="宋体" w:cs="宋体"/>
          <w:color w:val="auto"/>
          <w:szCs w:val="21"/>
          <w:highlight w:val="none"/>
          <w:u w:val="single"/>
        </w:rPr>
        <w:t xml:space="preserve"> </w:t>
      </w:r>
      <w:r>
        <w:rPr>
          <w:rFonts w:ascii="宋体" w:hAnsi="宋体" w:cs="宋体"/>
          <w:color w:val="auto"/>
          <w:szCs w:val="21"/>
          <w:highlight w:val="none"/>
          <w:u w:val="single"/>
        </w:rPr>
        <w:t xml:space="preserve">                 </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 xml:space="preserve">   供应商（乙方）：</w:t>
      </w:r>
      <w:r>
        <w:rPr>
          <w:rFonts w:ascii="宋体" w:hAnsi="宋体" w:cs="宋体"/>
          <w:color w:val="auto"/>
          <w:szCs w:val="21"/>
          <w:highlight w:val="none"/>
          <w:u w:val="single"/>
        </w:rPr>
        <w:t xml:space="preserve">                   </w:t>
      </w:r>
      <w:r>
        <w:rPr>
          <w:rFonts w:hint="eastAsia" w:ascii="宋体" w:hAnsi="宋体" w:cs="宋体"/>
          <w:color w:val="auto"/>
          <w:szCs w:val="21"/>
          <w:highlight w:val="none"/>
          <w:u w:val="single"/>
        </w:rPr>
        <w:t xml:space="preserve"> </w:t>
      </w:r>
      <w:r>
        <w:rPr>
          <w:rFonts w:ascii="宋体" w:hAnsi="宋体" w:cs="宋体"/>
          <w:color w:val="auto"/>
          <w:szCs w:val="21"/>
          <w:highlight w:val="none"/>
          <w:u w:val="single"/>
        </w:rPr>
        <w:t xml:space="preserve"> </w:t>
      </w:r>
      <w:r>
        <w:rPr>
          <w:rFonts w:hint="eastAsia" w:ascii="宋体" w:hAnsi="宋体" w:cs="宋体"/>
          <w:color w:val="auto"/>
          <w:szCs w:val="21"/>
          <w:highlight w:val="none"/>
        </w:rPr>
        <w:t xml:space="preserve">  </w:t>
      </w:r>
    </w:p>
    <w:p w14:paraId="73B5DB61">
      <w:pPr>
        <w:spacing w:line="360" w:lineRule="auto"/>
        <w:rPr>
          <w:rFonts w:ascii="宋体" w:hAnsi="宋体" w:cs="宋体"/>
          <w:color w:val="auto"/>
          <w:szCs w:val="21"/>
          <w:highlight w:val="none"/>
          <w:u w:val="single"/>
        </w:rPr>
      </w:pPr>
      <w:r>
        <w:rPr>
          <w:rFonts w:hint="eastAsia" w:ascii="宋体" w:hAnsi="宋体" w:cs="宋体"/>
          <w:color w:val="auto"/>
          <w:szCs w:val="21"/>
          <w:highlight w:val="none"/>
        </w:rPr>
        <w:t>项目名称：</w:t>
      </w:r>
      <w:r>
        <w:rPr>
          <w:rFonts w:ascii="宋体" w:hAnsi="宋体" w:cs="宋体"/>
          <w:color w:val="auto"/>
          <w:szCs w:val="21"/>
          <w:highlight w:val="none"/>
          <w:u w:val="single"/>
        </w:rPr>
        <w:t xml:space="preserve">                       </w:t>
      </w:r>
      <w:r>
        <w:rPr>
          <w:rFonts w:hint="eastAsia" w:ascii="宋体" w:hAnsi="宋体" w:cs="宋体"/>
          <w:color w:val="auto"/>
          <w:szCs w:val="21"/>
          <w:highlight w:val="none"/>
          <w:u w:val="single"/>
        </w:rPr>
        <w:t xml:space="preserve">  </w:t>
      </w:r>
      <w:r>
        <w:rPr>
          <w:rFonts w:ascii="宋体" w:hAnsi="宋体" w:cs="宋体"/>
          <w:color w:val="auto"/>
          <w:szCs w:val="21"/>
          <w:highlight w:val="none"/>
          <w:u w:val="single"/>
        </w:rPr>
        <w:t xml:space="preserve">  </w:t>
      </w:r>
      <w:r>
        <w:rPr>
          <w:rFonts w:ascii="宋体" w:hAnsi="宋体" w:cs="宋体"/>
          <w:color w:val="auto"/>
          <w:szCs w:val="21"/>
          <w:highlight w:val="none"/>
        </w:rPr>
        <w:t xml:space="preserve">   </w:t>
      </w:r>
      <w:r>
        <w:rPr>
          <w:rFonts w:hint="eastAsia" w:ascii="宋体" w:hAnsi="宋体" w:cs="宋体"/>
          <w:color w:val="auto"/>
          <w:szCs w:val="21"/>
          <w:highlight w:val="none"/>
        </w:rPr>
        <w:t>项目编号：</w:t>
      </w:r>
      <w:r>
        <w:rPr>
          <w:rFonts w:ascii="宋体" w:hAnsi="宋体" w:cs="宋体"/>
          <w:color w:val="auto"/>
          <w:szCs w:val="21"/>
          <w:highlight w:val="none"/>
          <w:u w:val="single"/>
        </w:rPr>
        <w:t xml:space="preserve">                          </w:t>
      </w:r>
      <w:r>
        <w:rPr>
          <w:rFonts w:hint="eastAsia" w:ascii="宋体" w:hAnsi="宋体" w:cs="宋体"/>
          <w:color w:val="auto"/>
          <w:szCs w:val="21"/>
          <w:highlight w:val="none"/>
          <w:u w:val="single"/>
        </w:rPr>
        <w:t xml:space="preserve"> </w:t>
      </w:r>
    </w:p>
    <w:p w14:paraId="53A01790">
      <w:pPr>
        <w:spacing w:line="360" w:lineRule="auto"/>
        <w:rPr>
          <w:rFonts w:ascii="宋体" w:hAnsi="宋体" w:cs="宋体"/>
          <w:color w:val="auto"/>
          <w:szCs w:val="21"/>
          <w:highlight w:val="none"/>
          <w:u w:val="single"/>
        </w:rPr>
      </w:pPr>
      <w:r>
        <w:rPr>
          <w:rFonts w:hint="eastAsia" w:ascii="宋体" w:hAnsi="宋体" w:cs="宋体"/>
          <w:color w:val="auto"/>
          <w:szCs w:val="21"/>
          <w:highlight w:val="none"/>
        </w:rPr>
        <w:t>签订地点：</w:t>
      </w:r>
      <w:r>
        <w:rPr>
          <w:rFonts w:hint="eastAsia" w:ascii="宋体" w:hAnsi="宋体" w:cs="宋体"/>
          <w:color w:val="auto"/>
          <w:szCs w:val="21"/>
          <w:highlight w:val="none"/>
          <w:u w:val="single"/>
        </w:rPr>
        <w:t xml:space="preserve"> </w:t>
      </w:r>
      <w:r>
        <w:rPr>
          <w:rFonts w:ascii="宋体" w:hAnsi="宋体" w:cs="宋体"/>
          <w:color w:val="auto"/>
          <w:szCs w:val="21"/>
          <w:highlight w:val="none"/>
          <w:u w:val="single"/>
        </w:rPr>
        <w:t xml:space="preserve">                    </w:t>
      </w:r>
      <w:r>
        <w:rPr>
          <w:rFonts w:hint="eastAsia" w:ascii="宋体" w:hAnsi="宋体" w:cs="宋体"/>
          <w:color w:val="auto"/>
          <w:szCs w:val="21"/>
          <w:highlight w:val="none"/>
          <w:u w:val="single"/>
        </w:rPr>
        <w:t xml:space="preserve">  </w:t>
      </w:r>
      <w:r>
        <w:rPr>
          <w:rFonts w:ascii="宋体" w:hAnsi="宋体" w:cs="宋体"/>
          <w:color w:val="auto"/>
          <w:szCs w:val="21"/>
          <w:highlight w:val="none"/>
          <w:u w:val="single"/>
        </w:rPr>
        <w:t xml:space="preserve">   </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 xml:space="preserve">   签订时间：</w:t>
      </w:r>
      <w:r>
        <w:rPr>
          <w:rFonts w:hint="eastAsia" w:ascii="宋体" w:hAnsi="宋体" w:cs="宋体"/>
          <w:color w:val="auto"/>
          <w:szCs w:val="21"/>
          <w:highlight w:val="none"/>
          <w:u w:val="single"/>
        </w:rPr>
        <w:t xml:space="preserve">        </w:t>
      </w:r>
      <w:r>
        <w:rPr>
          <w:rFonts w:ascii="宋体" w:hAnsi="宋体" w:cs="宋体"/>
          <w:color w:val="auto"/>
          <w:szCs w:val="21"/>
          <w:highlight w:val="none"/>
          <w:u w:val="single"/>
        </w:rPr>
        <w:t xml:space="preserve">           </w:t>
      </w:r>
      <w:r>
        <w:rPr>
          <w:rFonts w:hint="eastAsia" w:ascii="宋体" w:hAnsi="宋体" w:cs="宋体"/>
          <w:color w:val="auto"/>
          <w:szCs w:val="21"/>
          <w:highlight w:val="none"/>
          <w:u w:val="single"/>
        </w:rPr>
        <w:t xml:space="preserve">        </w:t>
      </w:r>
    </w:p>
    <w:p w14:paraId="4C2CE232">
      <w:pPr>
        <w:spacing w:line="360" w:lineRule="auto"/>
        <w:ind w:firstLine="525" w:firstLineChars="250"/>
        <w:rPr>
          <w:rFonts w:ascii="宋体" w:hAnsi="宋体" w:cs="宋体"/>
          <w:color w:val="auto"/>
          <w:szCs w:val="21"/>
          <w:highlight w:val="none"/>
        </w:rPr>
      </w:pPr>
      <w:r>
        <w:rPr>
          <w:rFonts w:hint="eastAsia" w:ascii="宋体" w:hAnsi="宋体" w:cs="宋体"/>
          <w:color w:val="auto"/>
          <w:szCs w:val="21"/>
          <w:highlight w:val="none"/>
        </w:rPr>
        <w:t>根据《中华人民共和国政府采购法》《中华人民共和国民法典》等法律法规，按照</w:t>
      </w:r>
      <w:r>
        <w:rPr>
          <w:rFonts w:hint="eastAsia" w:ascii="宋体" w:hAnsi="宋体"/>
          <w:color w:val="auto"/>
          <w:szCs w:val="21"/>
          <w:highlight w:val="none"/>
        </w:rPr>
        <w:t>磋商文件规定条款和乙方响应文件及其承诺，甲乙双方签订本合同。</w:t>
      </w:r>
    </w:p>
    <w:p w14:paraId="6262A9CE">
      <w:pPr>
        <w:spacing w:line="360" w:lineRule="auto"/>
        <w:ind w:firstLine="422" w:firstLineChars="200"/>
        <w:rPr>
          <w:rFonts w:ascii="宋体" w:hAnsi="宋体" w:cs="宋体"/>
          <w:b/>
          <w:color w:val="auto"/>
          <w:szCs w:val="21"/>
          <w:highlight w:val="none"/>
        </w:rPr>
      </w:pPr>
      <w:r>
        <w:rPr>
          <w:rFonts w:hint="eastAsia" w:ascii="宋体" w:hAnsi="宋体" w:cs="宋体"/>
          <w:b/>
          <w:color w:val="auto"/>
          <w:szCs w:val="21"/>
          <w:highlight w:val="none"/>
        </w:rPr>
        <w:t>第一条　合同标的</w:t>
      </w:r>
    </w:p>
    <w:p w14:paraId="44294B9E">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1.项目一览表</w:t>
      </w:r>
    </w:p>
    <w:tbl>
      <w:tblPr>
        <w:tblStyle w:val="31"/>
        <w:tblW w:w="10719"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686"/>
        <w:gridCol w:w="2212"/>
        <w:gridCol w:w="1463"/>
        <w:gridCol w:w="1712"/>
        <w:gridCol w:w="1712"/>
        <w:gridCol w:w="2150"/>
        <w:gridCol w:w="784"/>
      </w:tblGrid>
      <w:tr w14:paraId="3B2ADD4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6" w:hRule="atLeast"/>
          <w:jc w:val="center"/>
        </w:trPr>
        <w:tc>
          <w:tcPr>
            <w:tcW w:w="686" w:type="dxa"/>
            <w:tcBorders>
              <w:top w:val="single" w:color="auto" w:sz="4" w:space="0"/>
              <w:left w:val="single" w:color="auto" w:sz="4" w:space="0"/>
              <w:bottom w:val="single" w:color="auto" w:sz="4" w:space="0"/>
              <w:right w:val="single" w:color="auto" w:sz="4" w:space="0"/>
            </w:tcBorders>
            <w:noWrap/>
            <w:vAlign w:val="center"/>
          </w:tcPr>
          <w:p w14:paraId="03B378B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lang w:eastAsia="zh-CN"/>
              </w:rPr>
              <w:t>序号</w:t>
            </w:r>
          </w:p>
        </w:tc>
        <w:tc>
          <w:tcPr>
            <w:tcW w:w="2212" w:type="dxa"/>
            <w:tcBorders>
              <w:top w:val="single" w:color="auto" w:sz="4" w:space="0"/>
              <w:left w:val="single" w:color="auto" w:sz="4" w:space="0"/>
              <w:bottom w:val="single" w:color="auto" w:sz="4" w:space="0"/>
              <w:right w:val="single" w:color="auto" w:sz="4" w:space="0"/>
            </w:tcBorders>
            <w:noWrap/>
            <w:vAlign w:val="center"/>
          </w:tcPr>
          <w:p w14:paraId="70C228B1">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lang w:eastAsia="zh-CN"/>
              </w:rPr>
              <w:t>人员类型</w:t>
            </w:r>
          </w:p>
        </w:tc>
        <w:tc>
          <w:tcPr>
            <w:tcW w:w="1463" w:type="dxa"/>
            <w:tcBorders>
              <w:top w:val="single" w:color="auto" w:sz="4" w:space="0"/>
              <w:left w:val="single" w:color="auto" w:sz="4" w:space="0"/>
              <w:bottom w:val="single" w:color="auto" w:sz="4" w:space="0"/>
              <w:right w:val="single" w:color="auto" w:sz="4" w:space="0"/>
            </w:tcBorders>
            <w:noWrap/>
            <w:vAlign w:val="center"/>
          </w:tcPr>
          <w:p w14:paraId="7831149C">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lang w:eastAsia="zh-CN"/>
              </w:rPr>
              <w:t>天数</w:t>
            </w:r>
          </w:p>
          <w:p w14:paraId="6E571736">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lang w:eastAsia="zh-CN"/>
              </w:rPr>
              <w:t>（天）</w:t>
            </w:r>
          </w:p>
          <w:p w14:paraId="5F573AD5">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bidi="ar-SA"/>
              </w:rPr>
              <w:t>①</w:t>
            </w:r>
          </w:p>
        </w:tc>
        <w:tc>
          <w:tcPr>
            <w:tcW w:w="1712" w:type="dxa"/>
            <w:tcBorders>
              <w:top w:val="single" w:color="auto" w:sz="4" w:space="0"/>
              <w:left w:val="single" w:color="auto" w:sz="4" w:space="0"/>
              <w:bottom w:val="single" w:color="auto" w:sz="4" w:space="0"/>
              <w:right w:val="single" w:color="auto" w:sz="4" w:space="0"/>
            </w:tcBorders>
            <w:noWrap/>
            <w:vAlign w:val="center"/>
          </w:tcPr>
          <w:p w14:paraId="028783C6">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1"/>
                <w:szCs w:val="21"/>
                <w:highlight w:val="none"/>
                <w:lang w:val="en" w:eastAsia="zh-CN"/>
              </w:rPr>
            </w:pPr>
            <w:r>
              <w:rPr>
                <w:rFonts w:hint="eastAsia" w:ascii="宋体" w:hAnsi="宋体" w:eastAsia="宋体" w:cs="宋体"/>
                <w:b/>
                <w:bCs/>
                <w:color w:val="auto"/>
                <w:sz w:val="21"/>
                <w:szCs w:val="21"/>
                <w:highlight w:val="none"/>
                <w:lang w:val="en" w:eastAsia="zh-CN"/>
              </w:rPr>
              <w:t>人数</w:t>
            </w:r>
          </w:p>
          <w:p w14:paraId="540C236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1"/>
                <w:szCs w:val="21"/>
                <w:highlight w:val="none"/>
                <w:lang w:val="en" w:eastAsia="zh-CN"/>
              </w:rPr>
            </w:pPr>
            <w:r>
              <w:rPr>
                <w:rFonts w:hint="eastAsia" w:ascii="宋体" w:hAnsi="宋体" w:eastAsia="宋体" w:cs="宋体"/>
                <w:b/>
                <w:bCs/>
                <w:color w:val="auto"/>
                <w:sz w:val="21"/>
                <w:szCs w:val="21"/>
                <w:highlight w:val="none"/>
                <w:lang w:val="en" w:eastAsia="zh-CN"/>
              </w:rPr>
              <w:t>（人）</w:t>
            </w:r>
          </w:p>
          <w:p w14:paraId="18B31BA3">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1"/>
                <w:szCs w:val="21"/>
                <w:highlight w:val="none"/>
                <w:lang w:val="en" w:eastAsia="zh-CN"/>
              </w:rPr>
            </w:pPr>
            <w:r>
              <w:rPr>
                <w:rFonts w:hint="eastAsia" w:ascii="宋体" w:hAnsi="宋体" w:eastAsia="宋体" w:cs="宋体"/>
                <w:b/>
                <w:bCs/>
                <w:color w:val="auto"/>
                <w:sz w:val="21"/>
                <w:szCs w:val="21"/>
                <w:highlight w:val="none"/>
              </w:rPr>
              <w:t>②</w:t>
            </w:r>
          </w:p>
        </w:tc>
        <w:tc>
          <w:tcPr>
            <w:tcW w:w="1712" w:type="dxa"/>
            <w:tcBorders>
              <w:top w:val="single" w:color="auto" w:sz="4" w:space="0"/>
              <w:left w:val="single" w:color="auto" w:sz="4" w:space="0"/>
              <w:bottom w:val="single" w:color="auto" w:sz="4" w:space="0"/>
              <w:right w:val="single" w:color="auto" w:sz="4" w:space="0"/>
            </w:tcBorders>
            <w:noWrap/>
            <w:vAlign w:val="center"/>
          </w:tcPr>
          <w:p w14:paraId="402506AA">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人工费综合</w:t>
            </w:r>
            <w:r>
              <w:rPr>
                <w:rFonts w:hint="eastAsia" w:ascii="宋体" w:hAnsi="宋体" w:eastAsia="宋体" w:cs="宋体"/>
                <w:b/>
                <w:bCs/>
                <w:color w:val="auto"/>
                <w:sz w:val="21"/>
                <w:szCs w:val="21"/>
                <w:highlight w:val="none"/>
              </w:rPr>
              <w:t>单价</w:t>
            </w:r>
            <w:r>
              <w:rPr>
                <w:rFonts w:hint="eastAsia" w:ascii="宋体" w:hAnsi="宋体" w:eastAsia="宋体" w:cs="宋体"/>
                <w:b/>
                <w:bCs/>
                <w:color w:val="auto"/>
                <w:sz w:val="21"/>
                <w:szCs w:val="21"/>
                <w:highlight w:val="none"/>
                <w:lang w:val="en-US" w:eastAsia="zh-CN"/>
              </w:rPr>
              <w:t>报价</w:t>
            </w:r>
          </w:p>
          <w:p w14:paraId="1FFB581C">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（元</w:t>
            </w:r>
            <w:r>
              <w:rPr>
                <w:rFonts w:hint="eastAsia" w:ascii="宋体" w:hAnsi="宋体" w:eastAsia="宋体" w:cs="宋体"/>
                <w:b/>
                <w:bCs/>
                <w:color w:val="auto"/>
                <w:sz w:val="21"/>
                <w:szCs w:val="21"/>
                <w:highlight w:val="none"/>
                <w:lang w:val="en-US" w:eastAsia="zh-CN"/>
              </w:rPr>
              <w:t>/人/天</w:t>
            </w:r>
            <w:r>
              <w:rPr>
                <w:rFonts w:hint="eastAsia" w:ascii="宋体" w:hAnsi="宋体" w:eastAsia="宋体" w:cs="宋体"/>
                <w:b/>
                <w:bCs/>
                <w:color w:val="auto"/>
                <w:sz w:val="21"/>
                <w:szCs w:val="21"/>
                <w:highlight w:val="none"/>
              </w:rPr>
              <w:t>）</w:t>
            </w:r>
          </w:p>
          <w:p w14:paraId="78A7B255">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rPr>
              <w:t>③</w:t>
            </w:r>
          </w:p>
        </w:tc>
        <w:tc>
          <w:tcPr>
            <w:tcW w:w="2150" w:type="dxa"/>
            <w:tcBorders>
              <w:top w:val="single" w:color="auto" w:sz="4" w:space="0"/>
              <w:left w:val="single" w:color="auto" w:sz="4" w:space="0"/>
              <w:bottom w:val="single" w:color="auto" w:sz="4" w:space="0"/>
              <w:right w:val="single" w:color="auto" w:sz="4" w:space="0"/>
            </w:tcBorders>
            <w:noWrap/>
            <w:vAlign w:val="center"/>
          </w:tcPr>
          <w:p w14:paraId="3695822C">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人工费综合</w:t>
            </w:r>
            <w:r>
              <w:rPr>
                <w:rFonts w:hint="eastAsia" w:ascii="宋体" w:hAnsi="宋体" w:eastAsia="宋体" w:cs="宋体"/>
                <w:b/>
                <w:bCs/>
                <w:color w:val="auto"/>
                <w:sz w:val="21"/>
                <w:szCs w:val="21"/>
                <w:highlight w:val="none"/>
              </w:rPr>
              <w:t>单价报价</w:t>
            </w:r>
            <w:r>
              <w:rPr>
                <w:rFonts w:hint="eastAsia" w:ascii="宋体" w:hAnsi="宋体" w:eastAsia="宋体" w:cs="宋体"/>
                <w:b/>
                <w:bCs/>
                <w:color w:val="auto"/>
                <w:sz w:val="21"/>
                <w:szCs w:val="21"/>
                <w:highlight w:val="none"/>
                <w:lang w:eastAsia="zh-CN"/>
              </w:rPr>
              <w:t>合计</w:t>
            </w:r>
          </w:p>
          <w:p w14:paraId="6A362CCC">
            <w:pPr>
              <w:rPr>
                <w:rFonts w:hint="eastAsia" w:ascii="宋体" w:hAnsi="宋体" w:eastAsia="宋体" w:cs="宋体"/>
                <w:color w:val="auto"/>
                <w:szCs w:val="21"/>
                <w:highlight w:val="none"/>
              </w:rPr>
            </w:pPr>
          </w:p>
          <w:p w14:paraId="0BADC5B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（元/</w:t>
            </w:r>
            <w:r>
              <w:rPr>
                <w:rFonts w:hint="eastAsia" w:ascii="宋体" w:hAnsi="宋体" w:eastAsia="宋体" w:cs="宋体"/>
                <w:b/>
                <w:bCs/>
                <w:color w:val="auto"/>
                <w:sz w:val="21"/>
                <w:szCs w:val="21"/>
                <w:highlight w:val="none"/>
                <w:lang w:eastAsia="zh-CN"/>
              </w:rPr>
              <w:t>天</w:t>
            </w:r>
            <w:r>
              <w:rPr>
                <w:rFonts w:hint="eastAsia" w:ascii="宋体" w:hAnsi="宋体" w:eastAsia="宋体" w:cs="宋体"/>
                <w:b/>
                <w:bCs/>
                <w:color w:val="auto"/>
                <w:sz w:val="21"/>
                <w:szCs w:val="21"/>
                <w:highlight w:val="none"/>
              </w:rPr>
              <w:t>）</w:t>
            </w:r>
          </w:p>
          <w:p w14:paraId="221033D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④=①×②×③</w:t>
            </w:r>
          </w:p>
        </w:tc>
        <w:tc>
          <w:tcPr>
            <w:tcW w:w="784" w:type="dxa"/>
            <w:tcBorders>
              <w:top w:val="single" w:color="auto" w:sz="4" w:space="0"/>
              <w:left w:val="single" w:color="auto" w:sz="4" w:space="0"/>
              <w:bottom w:val="single" w:color="auto" w:sz="4" w:space="0"/>
              <w:right w:val="single" w:color="auto" w:sz="4" w:space="0"/>
            </w:tcBorders>
            <w:noWrap/>
            <w:vAlign w:val="center"/>
          </w:tcPr>
          <w:p w14:paraId="12DCEE9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备注</w:t>
            </w:r>
          </w:p>
        </w:tc>
      </w:tr>
      <w:tr w14:paraId="6B8F07F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820" w:hRule="atLeast"/>
          <w:jc w:val="center"/>
        </w:trPr>
        <w:tc>
          <w:tcPr>
            <w:tcW w:w="686" w:type="dxa"/>
            <w:tcBorders>
              <w:top w:val="single" w:color="auto" w:sz="4" w:space="0"/>
              <w:left w:val="single" w:color="auto" w:sz="4" w:space="0"/>
              <w:bottom w:val="single" w:color="auto" w:sz="4" w:space="0"/>
              <w:right w:val="single" w:color="auto" w:sz="4" w:space="0"/>
            </w:tcBorders>
            <w:noWrap/>
            <w:vAlign w:val="center"/>
          </w:tcPr>
          <w:p w14:paraId="1D35C79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2212" w:type="dxa"/>
            <w:tcBorders>
              <w:top w:val="single" w:color="auto" w:sz="4" w:space="0"/>
              <w:left w:val="single" w:color="auto" w:sz="4" w:space="0"/>
              <w:bottom w:val="single" w:color="auto" w:sz="4" w:space="0"/>
              <w:right w:val="single" w:color="auto" w:sz="4" w:space="0"/>
            </w:tcBorders>
            <w:noWrap/>
            <w:vAlign w:val="center"/>
          </w:tcPr>
          <w:p w14:paraId="7C34DDE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注册会计师（或审计、会计等高级职称）人员</w:t>
            </w:r>
          </w:p>
        </w:tc>
        <w:tc>
          <w:tcPr>
            <w:tcW w:w="1463" w:type="dxa"/>
            <w:tcBorders>
              <w:top w:val="single" w:color="auto" w:sz="4" w:space="0"/>
              <w:left w:val="single" w:color="auto" w:sz="4" w:space="0"/>
              <w:bottom w:val="single" w:color="auto" w:sz="4" w:space="0"/>
              <w:right w:val="single" w:color="auto" w:sz="4" w:space="0"/>
            </w:tcBorders>
            <w:noWrap/>
            <w:vAlign w:val="center"/>
          </w:tcPr>
          <w:p w14:paraId="3266AB6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1天</w:t>
            </w:r>
          </w:p>
        </w:tc>
        <w:tc>
          <w:tcPr>
            <w:tcW w:w="1712" w:type="dxa"/>
            <w:tcBorders>
              <w:top w:val="single" w:color="auto" w:sz="4" w:space="0"/>
              <w:left w:val="single" w:color="auto" w:sz="4" w:space="0"/>
              <w:bottom w:val="single" w:color="auto" w:sz="4" w:space="0"/>
              <w:right w:val="single" w:color="auto" w:sz="4" w:space="0"/>
            </w:tcBorders>
            <w:noWrap/>
            <w:vAlign w:val="center"/>
          </w:tcPr>
          <w:p w14:paraId="3CD902EA">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2人</w:t>
            </w:r>
          </w:p>
        </w:tc>
        <w:tc>
          <w:tcPr>
            <w:tcW w:w="1712" w:type="dxa"/>
            <w:tcBorders>
              <w:top w:val="single" w:color="auto" w:sz="4" w:space="0"/>
              <w:left w:val="single" w:color="auto" w:sz="4" w:space="0"/>
              <w:bottom w:val="single" w:color="auto" w:sz="4" w:space="0"/>
              <w:right w:val="single" w:color="auto" w:sz="4" w:space="0"/>
            </w:tcBorders>
            <w:noWrap/>
            <w:vAlign w:val="center"/>
          </w:tcPr>
          <w:p w14:paraId="2001B8D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lang w:val="en-US" w:eastAsia="zh-CN"/>
              </w:rPr>
            </w:pPr>
          </w:p>
        </w:tc>
        <w:tc>
          <w:tcPr>
            <w:tcW w:w="2150" w:type="dxa"/>
            <w:tcBorders>
              <w:top w:val="single" w:color="auto" w:sz="4" w:space="0"/>
              <w:left w:val="single" w:color="auto" w:sz="4" w:space="0"/>
              <w:bottom w:val="single" w:color="auto" w:sz="4" w:space="0"/>
              <w:right w:val="single" w:color="auto" w:sz="4" w:space="0"/>
            </w:tcBorders>
            <w:noWrap/>
            <w:vAlign w:val="center"/>
          </w:tcPr>
          <w:p w14:paraId="02DAAAF9">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Cs w:val="21"/>
                <w:highlight w:val="none"/>
              </w:rPr>
            </w:pPr>
          </w:p>
          <w:p w14:paraId="07908F32">
            <w:pPr>
              <w:pStyle w:val="2"/>
              <w:rPr>
                <w:rFonts w:hint="eastAsia" w:ascii="宋体" w:hAnsi="宋体" w:eastAsia="宋体" w:cs="宋体"/>
                <w:color w:val="auto"/>
                <w:sz w:val="21"/>
                <w:szCs w:val="21"/>
                <w:highlight w:val="none"/>
              </w:rPr>
            </w:pPr>
          </w:p>
        </w:tc>
        <w:tc>
          <w:tcPr>
            <w:tcW w:w="784" w:type="dxa"/>
            <w:tcBorders>
              <w:top w:val="single" w:color="auto" w:sz="4" w:space="0"/>
              <w:left w:val="single" w:color="auto" w:sz="4" w:space="0"/>
              <w:bottom w:val="single" w:color="auto" w:sz="4" w:space="0"/>
              <w:right w:val="single" w:color="auto" w:sz="4" w:space="0"/>
            </w:tcBorders>
            <w:noWrap/>
            <w:vAlign w:val="center"/>
          </w:tcPr>
          <w:p w14:paraId="0660EAD3">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lang w:val="en-US" w:eastAsia="zh-CN"/>
              </w:rPr>
            </w:pPr>
          </w:p>
        </w:tc>
      </w:tr>
      <w:tr w14:paraId="7976B16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745" w:hRule="atLeast"/>
          <w:jc w:val="center"/>
        </w:trPr>
        <w:tc>
          <w:tcPr>
            <w:tcW w:w="686" w:type="dxa"/>
            <w:tcBorders>
              <w:top w:val="single" w:color="auto" w:sz="4" w:space="0"/>
              <w:left w:val="single" w:color="auto" w:sz="4" w:space="0"/>
              <w:bottom w:val="single" w:color="auto" w:sz="4" w:space="0"/>
              <w:right w:val="single" w:color="auto" w:sz="4" w:space="0"/>
            </w:tcBorders>
            <w:noWrap/>
            <w:vAlign w:val="center"/>
          </w:tcPr>
          <w:p w14:paraId="0B0E8914">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2</w:t>
            </w:r>
          </w:p>
        </w:tc>
        <w:tc>
          <w:tcPr>
            <w:tcW w:w="2212" w:type="dxa"/>
            <w:tcBorders>
              <w:top w:val="single" w:color="auto" w:sz="4" w:space="0"/>
              <w:left w:val="single" w:color="auto" w:sz="4" w:space="0"/>
              <w:bottom w:val="single" w:color="auto" w:sz="4" w:space="0"/>
              <w:right w:val="single" w:color="auto" w:sz="4" w:space="0"/>
            </w:tcBorders>
            <w:noWrap/>
            <w:vAlign w:val="center"/>
          </w:tcPr>
          <w:p w14:paraId="1C61683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lang w:val="en-US"/>
              </w:rPr>
            </w:pPr>
            <w:r>
              <w:rPr>
                <w:rFonts w:hint="eastAsia" w:ascii="宋体" w:hAnsi="宋体" w:eastAsia="宋体" w:cs="宋体"/>
                <w:color w:val="auto"/>
                <w:sz w:val="21"/>
                <w:szCs w:val="21"/>
                <w:highlight w:val="none"/>
                <w:lang w:eastAsia="zh-CN"/>
              </w:rPr>
              <w:t>审计或会计专业中级及以上职称人员</w:t>
            </w:r>
          </w:p>
        </w:tc>
        <w:tc>
          <w:tcPr>
            <w:tcW w:w="1463" w:type="dxa"/>
            <w:tcBorders>
              <w:top w:val="single" w:color="auto" w:sz="4" w:space="0"/>
              <w:left w:val="single" w:color="auto" w:sz="4" w:space="0"/>
              <w:bottom w:val="single" w:color="auto" w:sz="4" w:space="0"/>
              <w:right w:val="single" w:color="auto" w:sz="4" w:space="0"/>
            </w:tcBorders>
            <w:noWrap/>
            <w:vAlign w:val="center"/>
          </w:tcPr>
          <w:p w14:paraId="4254B60A">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lang w:eastAsia="zh-CN"/>
              </w:rPr>
              <w:t>天</w:t>
            </w:r>
          </w:p>
        </w:tc>
        <w:tc>
          <w:tcPr>
            <w:tcW w:w="1712" w:type="dxa"/>
            <w:tcBorders>
              <w:top w:val="single" w:color="auto" w:sz="4" w:space="0"/>
              <w:left w:val="single" w:color="auto" w:sz="4" w:space="0"/>
              <w:bottom w:val="single" w:color="auto" w:sz="4" w:space="0"/>
              <w:right w:val="single" w:color="auto" w:sz="4" w:space="0"/>
            </w:tcBorders>
            <w:noWrap/>
            <w:vAlign w:val="center"/>
          </w:tcPr>
          <w:p w14:paraId="43C1DCD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6人</w:t>
            </w:r>
          </w:p>
        </w:tc>
        <w:tc>
          <w:tcPr>
            <w:tcW w:w="1712" w:type="dxa"/>
            <w:tcBorders>
              <w:top w:val="single" w:color="auto" w:sz="4" w:space="0"/>
              <w:left w:val="single" w:color="auto" w:sz="4" w:space="0"/>
              <w:bottom w:val="single" w:color="auto" w:sz="4" w:space="0"/>
              <w:right w:val="single" w:color="auto" w:sz="4" w:space="0"/>
            </w:tcBorders>
            <w:noWrap/>
            <w:vAlign w:val="center"/>
          </w:tcPr>
          <w:p w14:paraId="3D4D04F8">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lang w:val="en-US" w:eastAsia="zh-CN"/>
              </w:rPr>
            </w:pPr>
          </w:p>
        </w:tc>
        <w:tc>
          <w:tcPr>
            <w:tcW w:w="2150" w:type="dxa"/>
            <w:tcBorders>
              <w:top w:val="single" w:color="auto" w:sz="4" w:space="0"/>
              <w:left w:val="single" w:color="auto" w:sz="4" w:space="0"/>
              <w:bottom w:val="single" w:color="auto" w:sz="4" w:space="0"/>
              <w:right w:val="single" w:color="auto" w:sz="4" w:space="0"/>
            </w:tcBorders>
            <w:noWrap/>
            <w:vAlign w:val="center"/>
          </w:tcPr>
          <w:p w14:paraId="3B518EB5">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rPr>
            </w:pPr>
          </w:p>
        </w:tc>
        <w:tc>
          <w:tcPr>
            <w:tcW w:w="784" w:type="dxa"/>
            <w:tcBorders>
              <w:top w:val="single" w:color="auto" w:sz="4" w:space="0"/>
              <w:left w:val="single" w:color="auto" w:sz="4" w:space="0"/>
              <w:bottom w:val="single" w:color="auto" w:sz="4" w:space="0"/>
              <w:right w:val="single" w:color="auto" w:sz="4" w:space="0"/>
            </w:tcBorders>
            <w:noWrap/>
            <w:vAlign w:val="center"/>
          </w:tcPr>
          <w:p w14:paraId="57E8C21D">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lang w:val="en-US" w:eastAsia="zh-CN"/>
              </w:rPr>
            </w:pPr>
          </w:p>
        </w:tc>
      </w:tr>
      <w:tr w14:paraId="2501E37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080" w:hRule="atLeast"/>
          <w:jc w:val="center"/>
        </w:trPr>
        <w:tc>
          <w:tcPr>
            <w:tcW w:w="686" w:type="dxa"/>
            <w:tcBorders>
              <w:top w:val="single" w:color="auto" w:sz="4" w:space="0"/>
              <w:left w:val="single" w:color="auto" w:sz="4" w:space="0"/>
              <w:bottom w:val="single" w:color="auto" w:sz="4" w:space="0"/>
              <w:right w:val="single" w:color="auto" w:sz="4" w:space="0"/>
            </w:tcBorders>
            <w:noWrap/>
            <w:vAlign w:val="center"/>
          </w:tcPr>
          <w:p w14:paraId="3688A7F2">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w:t>
            </w:r>
          </w:p>
        </w:tc>
        <w:tc>
          <w:tcPr>
            <w:tcW w:w="2212" w:type="dxa"/>
            <w:tcBorders>
              <w:top w:val="single" w:color="auto" w:sz="4" w:space="0"/>
              <w:left w:val="single" w:color="auto" w:sz="4" w:space="0"/>
              <w:bottom w:val="single" w:color="auto" w:sz="4" w:space="0"/>
              <w:right w:val="single" w:color="auto" w:sz="4" w:space="0"/>
            </w:tcBorders>
            <w:noWrap/>
            <w:vAlign w:val="center"/>
          </w:tcPr>
          <w:p w14:paraId="3DAD7DA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rPr>
            </w:pPr>
            <w:r>
              <w:rPr>
                <w:rFonts w:hint="default" w:ascii="宋体" w:hAnsi="宋体" w:eastAsia="宋体" w:cs="宋体"/>
                <w:color w:val="auto"/>
                <w:sz w:val="21"/>
                <w:szCs w:val="21"/>
                <w:highlight w:val="none"/>
                <w:lang w:val="en-US" w:eastAsia="zh-CN"/>
              </w:rPr>
              <w:t>具有政府采购</w:t>
            </w:r>
            <w:r>
              <w:rPr>
                <w:rFonts w:hint="eastAsia" w:ascii="宋体" w:hAnsi="宋体" w:eastAsia="宋体" w:cs="宋体"/>
                <w:color w:val="auto"/>
                <w:sz w:val="21"/>
                <w:szCs w:val="21"/>
                <w:highlight w:val="none"/>
                <w:lang w:val="en-US" w:eastAsia="zh-CN"/>
              </w:rPr>
              <w:t>、招标投标专业知识、</w:t>
            </w:r>
            <w:r>
              <w:rPr>
                <w:rFonts w:hint="default" w:ascii="宋体" w:hAnsi="宋体" w:eastAsia="宋体" w:cs="宋体"/>
                <w:color w:val="auto"/>
                <w:sz w:val="21"/>
                <w:szCs w:val="21"/>
                <w:highlight w:val="none"/>
                <w:lang w:val="en-US" w:eastAsia="zh-CN"/>
              </w:rPr>
              <w:t>工程</w:t>
            </w:r>
            <w:r>
              <w:rPr>
                <w:rFonts w:hint="eastAsia" w:ascii="宋体" w:hAnsi="宋体" w:eastAsia="宋体" w:cs="宋体"/>
                <w:color w:val="auto"/>
                <w:sz w:val="21"/>
                <w:szCs w:val="21"/>
                <w:highlight w:val="none"/>
                <w:lang w:val="en-US" w:eastAsia="zh-CN"/>
              </w:rPr>
              <w:t>造价或工程招投标审核等类似</w:t>
            </w:r>
            <w:r>
              <w:rPr>
                <w:rFonts w:hint="default" w:ascii="宋体" w:hAnsi="宋体" w:eastAsia="宋体" w:cs="宋体"/>
                <w:color w:val="auto"/>
                <w:sz w:val="21"/>
                <w:szCs w:val="21"/>
                <w:highlight w:val="none"/>
                <w:lang w:eastAsia="zh-CN"/>
              </w:rPr>
              <w:t>审计能力</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z w:val="21"/>
                <w:szCs w:val="21"/>
                <w:highlight w:val="none"/>
                <w:lang w:eastAsia="zh-CN"/>
              </w:rPr>
              <w:t>专业</w:t>
            </w:r>
            <w:r>
              <w:rPr>
                <w:rFonts w:hint="eastAsia" w:ascii="宋体" w:hAnsi="宋体" w:eastAsia="宋体" w:cs="宋体"/>
                <w:color w:val="auto"/>
                <w:sz w:val="21"/>
                <w:szCs w:val="21"/>
                <w:highlight w:val="none"/>
                <w:lang w:eastAsia="zh-CN"/>
              </w:rPr>
              <w:t>人员</w:t>
            </w:r>
          </w:p>
        </w:tc>
        <w:tc>
          <w:tcPr>
            <w:tcW w:w="1463" w:type="dxa"/>
            <w:tcBorders>
              <w:top w:val="single" w:color="auto" w:sz="4" w:space="0"/>
              <w:left w:val="single" w:color="auto" w:sz="4" w:space="0"/>
              <w:bottom w:val="single" w:color="auto" w:sz="4" w:space="0"/>
              <w:right w:val="single" w:color="auto" w:sz="4" w:space="0"/>
            </w:tcBorders>
            <w:noWrap/>
            <w:vAlign w:val="center"/>
          </w:tcPr>
          <w:p w14:paraId="05392697">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lang w:eastAsia="zh-CN"/>
              </w:rPr>
              <w:t>天</w:t>
            </w:r>
          </w:p>
        </w:tc>
        <w:tc>
          <w:tcPr>
            <w:tcW w:w="1712" w:type="dxa"/>
            <w:tcBorders>
              <w:top w:val="single" w:color="auto" w:sz="4" w:space="0"/>
              <w:left w:val="single" w:color="auto" w:sz="4" w:space="0"/>
              <w:bottom w:val="single" w:color="auto" w:sz="4" w:space="0"/>
              <w:right w:val="single" w:color="auto" w:sz="4" w:space="0"/>
            </w:tcBorders>
            <w:noWrap/>
            <w:vAlign w:val="center"/>
          </w:tcPr>
          <w:p w14:paraId="69C6C276">
            <w:pPr>
              <w:pStyle w:val="2"/>
              <w:rPr>
                <w:rFonts w:hint="eastAsia" w:ascii="宋体" w:hAnsi="宋体" w:eastAsia="宋体" w:cs="宋体"/>
                <w:color w:val="auto"/>
                <w:sz w:val="21"/>
                <w:szCs w:val="21"/>
                <w:highlight w:val="none"/>
                <w:lang w:val="en-US" w:eastAsia="zh-CN"/>
              </w:rPr>
            </w:pPr>
            <w:r>
              <w:rPr>
                <w:rFonts w:hint="eastAsia" w:ascii="宋体" w:hAnsi="宋体" w:eastAsia="宋体" w:cs="宋体"/>
                <w:color w:val="auto"/>
                <w:kern w:val="2"/>
                <w:sz w:val="21"/>
                <w:szCs w:val="21"/>
                <w:highlight w:val="none"/>
                <w:lang w:val="en-US" w:eastAsia="zh-CN"/>
              </w:rPr>
              <w:t>2人</w:t>
            </w:r>
          </w:p>
        </w:tc>
        <w:tc>
          <w:tcPr>
            <w:tcW w:w="1712" w:type="dxa"/>
            <w:tcBorders>
              <w:top w:val="single" w:color="auto" w:sz="4" w:space="0"/>
              <w:left w:val="single" w:color="auto" w:sz="4" w:space="0"/>
              <w:bottom w:val="single" w:color="auto" w:sz="4" w:space="0"/>
              <w:right w:val="single" w:color="auto" w:sz="4" w:space="0"/>
            </w:tcBorders>
            <w:noWrap/>
            <w:vAlign w:val="center"/>
          </w:tcPr>
          <w:p w14:paraId="0A1ED5A8">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Cs w:val="21"/>
                <w:highlight w:val="none"/>
                <w:lang w:val="en-US" w:eastAsia="zh-CN"/>
              </w:rPr>
            </w:pPr>
          </w:p>
          <w:p w14:paraId="13C3E1C2">
            <w:pPr>
              <w:pStyle w:val="2"/>
              <w:rPr>
                <w:rFonts w:hint="eastAsia" w:ascii="宋体" w:hAnsi="宋体" w:eastAsia="宋体" w:cs="宋体"/>
                <w:color w:val="auto"/>
                <w:sz w:val="21"/>
                <w:szCs w:val="21"/>
                <w:highlight w:val="none"/>
                <w:lang w:val="en-US" w:eastAsia="zh-CN"/>
              </w:rPr>
            </w:pPr>
          </w:p>
        </w:tc>
        <w:tc>
          <w:tcPr>
            <w:tcW w:w="2150" w:type="dxa"/>
            <w:tcBorders>
              <w:top w:val="single" w:color="auto" w:sz="4" w:space="0"/>
              <w:left w:val="single" w:color="auto" w:sz="4" w:space="0"/>
              <w:bottom w:val="single" w:color="auto" w:sz="4" w:space="0"/>
              <w:right w:val="single" w:color="auto" w:sz="4" w:space="0"/>
            </w:tcBorders>
            <w:noWrap/>
            <w:vAlign w:val="center"/>
          </w:tcPr>
          <w:p w14:paraId="02C3FE8C">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rPr>
            </w:pPr>
          </w:p>
        </w:tc>
        <w:tc>
          <w:tcPr>
            <w:tcW w:w="784" w:type="dxa"/>
            <w:tcBorders>
              <w:top w:val="single" w:color="auto" w:sz="4" w:space="0"/>
              <w:left w:val="single" w:color="auto" w:sz="4" w:space="0"/>
              <w:bottom w:val="single" w:color="auto" w:sz="4" w:space="0"/>
              <w:right w:val="single" w:color="auto" w:sz="4" w:space="0"/>
            </w:tcBorders>
            <w:noWrap/>
            <w:vAlign w:val="center"/>
          </w:tcPr>
          <w:p w14:paraId="0059DBE4">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lang w:val="en-US" w:eastAsia="zh-CN"/>
              </w:rPr>
            </w:pPr>
          </w:p>
        </w:tc>
      </w:tr>
      <w:tr w14:paraId="725FAB2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20" w:hRule="atLeast"/>
          <w:jc w:val="center"/>
        </w:trPr>
        <w:tc>
          <w:tcPr>
            <w:tcW w:w="2898" w:type="dxa"/>
            <w:gridSpan w:val="2"/>
            <w:tcBorders>
              <w:top w:val="single" w:color="auto" w:sz="4" w:space="0"/>
              <w:left w:val="single" w:color="auto" w:sz="4" w:space="0"/>
              <w:bottom w:val="single" w:color="auto" w:sz="4" w:space="0"/>
              <w:right w:val="single" w:color="auto" w:sz="4" w:space="0"/>
            </w:tcBorders>
            <w:noWrap/>
            <w:vAlign w:val="center"/>
          </w:tcPr>
          <w:p w14:paraId="4C01D5C7">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报价合计</w:t>
            </w:r>
          </w:p>
        </w:tc>
        <w:tc>
          <w:tcPr>
            <w:tcW w:w="1463" w:type="dxa"/>
            <w:tcBorders>
              <w:top w:val="single" w:color="auto" w:sz="4" w:space="0"/>
              <w:left w:val="single" w:color="auto" w:sz="4" w:space="0"/>
              <w:bottom w:val="single" w:color="auto" w:sz="4" w:space="0"/>
              <w:right w:val="single" w:color="auto" w:sz="4" w:space="0"/>
            </w:tcBorders>
            <w:noWrap/>
            <w:vAlign w:val="center"/>
          </w:tcPr>
          <w:p w14:paraId="629C787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1天</w:t>
            </w:r>
          </w:p>
        </w:tc>
        <w:tc>
          <w:tcPr>
            <w:tcW w:w="1712" w:type="dxa"/>
            <w:tcBorders>
              <w:top w:val="single" w:color="auto" w:sz="4" w:space="0"/>
              <w:left w:val="single" w:color="auto" w:sz="4" w:space="0"/>
              <w:bottom w:val="single" w:color="auto" w:sz="4" w:space="0"/>
              <w:right w:val="single" w:color="auto" w:sz="4" w:space="0"/>
            </w:tcBorders>
            <w:noWrap/>
            <w:vAlign w:val="center"/>
          </w:tcPr>
          <w:p w14:paraId="7322CBFD">
            <w:pPr>
              <w:pStyle w:val="2"/>
              <w:rPr>
                <w:rFonts w:hint="eastAsia"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10人</w:t>
            </w:r>
          </w:p>
        </w:tc>
        <w:tc>
          <w:tcPr>
            <w:tcW w:w="1712" w:type="dxa"/>
            <w:tcBorders>
              <w:top w:val="single" w:color="auto" w:sz="4" w:space="0"/>
              <w:left w:val="single" w:color="auto" w:sz="4" w:space="0"/>
              <w:bottom w:val="single" w:color="auto" w:sz="4" w:space="0"/>
              <w:right w:val="single" w:color="auto" w:sz="4" w:space="0"/>
            </w:tcBorders>
            <w:noWrap/>
            <w:vAlign w:val="center"/>
          </w:tcPr>
          <w:p w14:paraId="533E2026">
            <w:pPr>
              <w:pStyle w:val="2"/>
              <w:rPr>
                <w:rFonts w:hint="eastAsia" w:ascii="宋体" w:hAnsi="宋体" w:eastAsia="宋体" w:cs="宋体"/>
                <w:color w:val="auto"/>
                <w:sz w:val="21"/>
                <w:szCs w:val="21"/>
                <w:highlight w:val="none"/>
                <w:lang w:val="en-US" w:eastAsia="zh-CN"/>
              </w:rPr>
            </w:pPr>
          </w:p>
        </w:tc>
        <w:tc>
          <w:tcPr>
            <w:tcW w:w="2150" w:type="dxa"/>
            <w:tcBorders>
              <w:top w:val="single" w:color="auto" w:sz="4" w:space="0"/>
              <w:left w:val="single" w:color="auto" w:sz="4" w:space="0"/>
              <w:bottom w:val="single" w:color="auto" w:sz="4" w:space="0"/>
              <w:right w:val="single" w:color="auto" w:sz="4" w:space="0"/>
            </w:tcBorders>
            <w:noWrap/>
            <w:vAlign w:val="center"/>
          </w:tcPr>
          <w:p w14:paraId="17812008">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rPr>
            </w:pPr>
          </w:p>
        </w:tc>
        <w:tc>
          <w:tcPr>
            <w:tcW w:w="784" w:type="dxa"/>
            <w:tcBorders>
              <w:top w:val="single" w:color="auto" w:sz="4" w:space="0"/>
              <w:left w:val="single" w:color="auto" w:sz="4" w:space="0"/>
              <w:bottom w:val="single" w:color="auto" w:sz="4" w:space="0"/>
              <w:right w:val="single" w:color="auto" w:sz="4" w:space="0"/>
            </w:tcBorders>
            <w:noWrap/>
            <w:vAlign w:val="center"/>
          </w:tcPr>
          <w:p w14:paraId="5C8B9F12">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rPr>
                <w:rFonts w:hint="eastAsia" w:ascii="宋体" w:hAnsi="宋体" w:eastAsia="宋体" w:cs="宋体"/>
                <w:color w:val="auto"/>
                <w:sz w:val="21"/>
                <w:szCs w:val="21"/>
                <w:highlight w:val="none"/>
                <w:lang w:val="en-US" w:eastAsia="zh-CN"/>
              </w:rPr>
            </w:pPr>
          </w:p>
        </w:tc>
      </w:tr>
      <w:tr w14:paraId="5A144CE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63" w:hRule="atLeast"/>
          <w:jc w:val="center"/>
        </w:trPr>
        <w:tc>
          <w:tcPr>
            <w:tcW w:w="10719" w:type="dxa"/>
            <w:gridSpan w:val="7"/>
            <w:tcBorders>
              <w:top w:val="single" w:color="auto" w:sz="4" w:space="0"/>
              <w:left w:val="single" w:color="auto" w:sz="4" w:space="0"/>
              <w:bottom w:val="single" w:color="auto" w:sz="4" w:space="0"/>
              <w:right w:val="single" w:color="auto" w:sz="4" w:space="0"/>
            </w:tcBorders>
            <w:noWrap/>
            <w:vAlign w:val="top"/>
          </w:tcPr>
          <w:p w14:paraId="2AF6A16D">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left"/>
              <w:textAlignment w:val="auto"/>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lang w:val="en-US" w:eastAsia="zh-CN"/>
              </w:rPr>
              <w:t>人工费综合</w:t>
            </w:r>
            <w:r>
              <w:rPr>
                <w:rFonts w:hint="eastAsia" w:ascii="宋体" w:hAnsi="宋体" w:eastAsia="宋体" w:cs="宋体"/>
                <w:b/>
                <w:bCs/>
                <w:color w:val="auto"/>
                <w:sz w:val="21"/>
                <w:szCs w:val="21"/>
                <w:highlight w:val="none"/>
              </w:rPr>
              <w:t>单价</w:t>
            </w:r>
            <w:r>
              <w:rPr>
                <w:rFonts w:hint="eastAsia" w:ascii="宋体" w:hAnsi="宋体" w:eastAsia="宋体" w:cs="宋体"/>
                <w:b/>
                <w:bCs/>
                <w:color w:val="auto"/>
                <w:sz w:val="21"/>
                <w:szCs w:val="21"/>
                <w:highlight w:val="none"/>
                <w:lang w:bidi="ar-SA"/>
              </w:rPr>
              <w:t>合计金额</w:t>
            </w:r>
            <w:r>
              <w:rPr>
                <w:rFonts w:hint="eastAsia" w:ascii="宋体" w:hAnsi="宋体" w:eastAsia="宋体" w:cs="宋体"/>
                <w:b/>
                <w:bCs/>
                <w:color w:val="auto"/>
                <w:sz w:val="21"/>
                <w:szCs w:val="21"/>
                <w:highlight w:val="none"/>
                <w:lang w:eastAsia="zh-CN" w:bidi="ar-SA"/>
              </w:rPr>
              <w:t>（</w:t>
            </w:r>
            <w:r>
              <w:rPr>
                <w:rFonts w:hint="eastAsia" w:ascii="宋体" w:hAnsi="宋体" w:eastAsia="宋体" w:cs="宋体"/>
                <w:b/>
                <w:bCs/>
                <w:color w:val="auto"/>
                <w:sz w:val="21"/>
                <w:szCs w:val="21"/>
                <w:highlight w:val="none"/>
              </w:rPr>
              <w:t>元</w:t>
            </w:r>
            <w:r>
              <w:rPr>
                <w:rFonts w:hint="eastAsia" w:ascii="宋体" w:hAnsi="宋体" w:eastAsia="宋体" w:cs="宋体"/>
                <w:b/>
                <w:bCs/>
                <w:color w:val="auto"/>
                <w:sz w:val="21"/>
                <w:szCs w:val="21"/>
                <w:highlight w:val="none"/>
                <w:lang w:val="en-US" w:eastAsia="zh-CN"/>
              </w:rPr>
              <w:t>/天/10人</w:t>
            </w:r>
            <w:r>
              <w:rPr>
                <w:rFonts w:hint="eastAsia" w:ascii="宋体" w:hAnsi="宋体" w:eastAsia="宋体" w:cs="宋体"/>
                <w:b/>
                <w:bCs/>
                <w:color w:val="auto"/>
                <w:sz w:val="21"/>
                <w:szCs w:val="21"/>
                <w:highlight w:val="none"/>
                <w:lang w:eastAsia="zh-CN" w:bidi="ar-SA"/>
              </w:rPr>
              <w:t>）</w:t>
            </w:r>
            <w:r>
              <w:rPr>
                <w:rFonts w:hint="eastAsia" w:ascii="宋体" w:hAnsi="宋体" w:eastAsia="宋体" w:cs="宋体"/>
                <w:color w:val="auto"/>
                <w:sz w:val="21"/>
                <w:szCs w:val="21"/>
                <w:highlight w:val="none"/>
                <w:lang w:eastAsia="zh-CN" w:bidi="ar-SA"/>
              </w:rPr>
              <w:t>：</w:t>
            </w:r>
            <w:r>
              <w:rPr>
                <w:rFonts w:hint="eastAsia" w:ascii="宋体" w:hAnsi="宋体" w:eastAsia="宋体" w:cs="宋体"/>
                <w:color w:val="auto"/>
                <w:sz w:val="21"/>
                <w:szCs w:val="21"/>
                <w:highlight w:val="none"/>
                <w:lang w:bidi="ar-SA"/>
              </w:rPr>
              <w:t>人民币</w:t>
            </w:r>
            <w:r>
              <w:rPr>
                <w:rFonts w:hint="eastAsia" w:ascii="宋体" w:hAnsi="宋体" w:eastAsia="宋体" w:cs="宋体"/>
                <w:color w:val="auto"/>
                <w:sz w:val="21"/>
                <w:szCs w:val="21"/>
                <w:highlight w:val="none"/>
                <w:lang w:eastAsia="zh-CN" w:bidi="ar-SA"/>
              </w:rPr>
              <w:t>（</w:t>
            </w:r>
            <w:r>
              <w:rPr>
                <w:rFonts w:hint="eastAsia" w:ascii="宋体" w:hAnsi="宋体" w:eastAsia="宋体" w:cs="宋体"/>
                <w:color w:val="auto"/>
                <w:sz w:val="21"/>
                <w:szCs w:val="21"/>
                <w:highlight w:val="none"/>
                <w:lang w:bidi="ar-SA"/>
              </w:rPr>
              <w:t>大写</w:t>
            </w:r>
            <w:r>
              <w:rPr>
                <w:rFonts w:hint="eastAsia" w:ascii="宋体" w:hAnsi="宋体" w:eastAsia="宋体" w:cs="宋体"/>
                <w:color w:val="auto"/>
                <w:sz w:val="21"/>
                <w:szCs w:val="21"/>
                <w:highlight w:val="none"/>
                <w:lang w:eastAsia="zh-CN" w:bidi="ar-SA"/>
              </w:rPr>
              <w:t>）</w:t>
            </w:r>
            <w:r>
              <w:rPr>
                <w:rFonts w:hint="eastAsia" w:ascii="宋体" w:hAnsi="宋体" w:eastAsia="宋体" w:cs="宋体"/>
                <w:color w:val="auto"/>
                <w:sz w:val="21"/>
                <w:szCs w:val="21"/>
                <w:highlight w:val="none"/>
                <w:u w:val="single"/>
                <w:lang w:bidi="ar-SA"/>
              </w:rPr>
              <w:t xml:space="preserve">           </w:t>
            </w:r>
            <w:r>
              <w:rPr>
                <w:rFonts w:hint="eastAsia" w:ascii="宋体" w:hAnsi="宋体" w:eastAsia="宋体" w:cs="宋体"/>
                <w:color w:val="auto"/>
                <w:sz w:val="21"/>
                <w:szCs w:val="21"/>
                <w:highlight w:val="none"/>
                <w:lang w:bidi="ar-SA"/>
              </w:rPr>
              <w:t>（</w:t>
            </w:r>
            <w:r>
              <w:rPr>
                <w:rFonts w:hint="eastAsia" w:ascii="宋体" w:hAnsi="宋体" w:eastAsia="宋体" w:cs="宋体"/>
                <w:color w:val="auto"/>
                <w:sz w:val="21"/>
                <w:szCs w:val="21"/>
                <w:highlight w:val="none"/>
                <w:lang w:val="en-US" w:eastAsia="zh-CN" w:bidi="ar-SA"/>
              </w:rPr>
              <w:t>¥</w:t>
            </w:r>
            <w:r>
              <w:rPr>
                <w:rFonts w:hint="eastAsia" w:ascii="宋体" w:hAnsi="宋体" w:eastAsia="宋体" w:cs="宋体"/>
                <w:color w:val="auto"/>
                <w:sz w:val="21"/>
                <w:szCs w:val="21"/>
                <w:highlight w:val="none"/>
                <w:u w:val="single"/>
                <w:lang w:bidi="ar-SA"/>
              </w:rPr>
              <w:t xml:space="preserve">           </w:t>
            </w:r>
            <w:r>
              <w:rPr>
                <w:rFonts w:hint="eastAsia" w:ascii="宋体" w:hAnsi="宋体" w:eastAsia="宋体" w:cs="宋体"/>
                <w:color w:val="auto"/>
                <w:sz w:val="21"/>
                <w:szCs w:val="21"/>
                <w:highlight w:val="none"/>
                <w:lang w:bidi="ar-SA"/>
              </w:rPr>
              <w:t>）</w:t>
            </w:r>
          </w:p>
        </w:tc>
      </w:tr>
    </w:tbl>
    <w:p w14:paraId="394DC2D8">
      <w:pPr>
        <w:keepNext w:val="0"/>
        <w:keepLines w:val="0"/>
        <w:pageBreakBefore w:val="0"/>
        <w:widowControl w:val="0"/>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仿宋_GB2312"/>
          <w:b/>
          <w:color w:val="auto"/>
          <w:sz w:val="21"/>
          <w:szCs w:val="21"/>
          <w:highlight w:val="none"/>
          <w:lang w:val="en-US" w:eastAsia="zh-CN"/>
        </w:rPr>
      </w:pPr>
      <w:r>
        <w:rPr>
          <w:rFonts w:hint="eastAsia" w:ascii="宋体" w:hAnsi="宋体" w:cs="宋体"/>
          <w:color w:val="auto"/>
          <w:szCs w:val="21"/>
          <w:highlight w:val="none"/>
          <w:lang w:val="en-US" w:eastAsia="zh-CN"/>
        </w:rPr>
        <w:t>1</w:t>
      </w:r>
      <w:r>
        <w:rPr>
          <w:rFonts w:hint="eastAsia" w:ascii="宋体" w:hAnsi="宋体" w:eastAsia="宋体" w:cs="仿宋_GB2312"/>
          <w:b/>
          <w:color w:val="auto"/>
          <w:sz w:val="21"/>
          <w:szCs w:val="21"/>
          <w:highlight w:val="none"/>
          <w:lang w:val="en-US" w:eastAsia="zh-CN"/>
        </w:rPr>
        <w:t>.本项目以人工费综合单价形式报价，人工费综合单价合计报价的最高限价为14736元/天/10人。人工费综合单价的合计报价超过单价合计最高限价的视为无效竞标处理。</w:t>
      </w:r>
    </w:p>
    <w:p w14:paraId="32056E87">
      <w:pPr>
        <w:keepNext w:val="0"/>
        <w:keepLines w:val="0"/>
        <w:pageBreakBefore w:val="0"/>
        <w:widowControl w:val="0"/>
        <w:kinsoku/>
        <w:wordWrap/>
        <w:overflowPunct/>
        <w:topLinePunct w:val="0"/>
        <w:autoSpaceDE/>
        <w:autoSpaceDN/>
        <w:bidi w:val="0"/>
        <w:adjustRightInd/>
        <w:spacing w:line="360" w:lineRule="auto"/>
        <w:ind w:firstLine="422" w:firstLineChars="200"/>
        <w:textAlignment w:val="auto"/>
        <w:rPr>
          <w:rFonts w:hint="eastAsia" w:ascii="宋体" w:hAnsi="宋体" w:cs="宋体"/>
          <w:color w:val="auto"/>
          <w:szCs w:val="21"/>
          <w:highlight w:val="none"/>
        </w:rPr>
      </w:pPr>
      <w:r>
        <w:rPr>
          <w:rFonts w:hint="eastAsia" w:ascii="宋体" w:hAnsi="宋体" w:cs="仿宋_GB2312"/>
          <w:b/>
          <w:color w:val="auto"/>
          <w:sz w:val="21"/>
          <w:szCs w:val="21"/>
          <w:highlight w:val="none"/>
          <w:lang w:val="en-US" w:eastAsia="zh-CN"/>
        </w:rPr>
        <w:t>2</w:t>
      </w:r>
      <w:r>
        <w:rPr>
          <w:rFonts w:hint="eastAsia" w:ascii="宋体" w:hAnsi="宋体" w:eastAsia="宋体" w:cs="仿宋_GB2312"/>
          <w:b/>
          <w:color w:val="auto"/>
          <w:sz w:val="21"/>
          <w:szCs w:val="21"/>
          <w:highlight w:val="none"/>
          <w:lang w:val="en-US" w:eastAsia="zh-CN"/>
        </w:rPr>
        <w:t>.本项目服务期限内采购金额（总结算金额）不能超过本项目采购预算金额。本项目拟定年服务工作量（服务日）暂定为23.75天/组，结算时，按照实际天数和人工费综合单价报价进行结算，最终年度结算总额费用不得超过最高限价35万元/年，2年费用结算总额费用不得超过最高限价70万元。</w:t>
      </w:r>
    </w:p>
    <w:p w14:paraId="40284FF3">
      <w:pPr>
        <w:spacing w:line="440" w:lineRule="exact"/>
        <w:ind w:firstLine="420" w:firstLineChars="200"/>
        <w:rPr>
          <w:rFonts w:ascii="宋体" w:hAnsi="宋体" w:cs="宋体"/>
          <w:color w:val="auto"/>
          <w:szCs w:val="21"/>
          <w:highlight w:val="none"/>
        </w:rPr>
      </w:pPr>
      <w:r>
        <w:rPr>
          <w:rFonts w:hint="eastAsia"/>
          <w:color w:val="auto"/>
          <w:highlight w:val="none"/>
          <w:lang w:val="en-US" w:eastAsia="zh-CN"/>
        </w:rPr>
        <w:t>3.磋商报价是履行合同的最终价格，必须包含但不限于工资、住宿费、差旅费、餐费、税费、保险等供应商全部费用，在合同实施期间，采购人将不予支付协审服务没有列入的项目费用，并认为此项目的费用已包括在报价中，不再另做结算。供应商应加强派出人员安全管理，实施项目审计工作期间如出现审计人员人身、财产安全事故、损失等由供应商全部负责，采购单位不负任何责任</w:t>
      </w:r>
      <w:r>
        <w:rPr>
          <w:rFonts w:hint="eastAsia"/>
          <w:color w:val="auto"/>
          <w:highlight w:val="none"/>
        </w:rPr>
        <w:t>。</w:t>
      </w:r>
    </w:p>
    <w:p w14:paraId="12CAA6E8">
      <w:pPr>
        <w:spacing w:line="360" w:lineRule="auto"/>
        <w:ind w:firstLine="422" w:firstLineChars="200"/>
        <w:rPr>
          <w:rFonts w:ascii="宋体" w:hAnsi="宋体" w:cs="宋体"/>
          <w:b/>
          <w:color w:val="auto"/>
          <w:szCs w:val="21"/>
          <w:highlight w:val="none"/>
        </w:rPr>
      </w:pPr>
      <w:r>
        <w:rPr>
          <w:rFonts w:hint="eastAsia" w:ascii="宋体" w:hAnsi="宋体" w:cs="宋体"/>
          <w:b/>
          <w:color w:val="auto"/>
          <w:szCs w:val="21"/>
          <w:highlight w:val="none"/>
        </w:rPr>
        <w:t>第二条　质量保证</w:t>
      </w:r>
    </w:p>
    <w:p w14:paraId="69BEADDF">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乙方所提供的服务及服务内容必须与响应文件承诺相一致，有国家强制性标准的，还必须符合国家强制性标准的规定，没有国家强制性标准但有其他强制性标准的，必须符合其他强制性标准的规定。</w:t>
      </w:r>
    </w:p>
    <w:p w14:paraId="40BD3820">
      <w:pPr>
        <w:spacing w:line="360" w:lineRule="auto"/>
        <w:ind w:firstLine="422" w:firstLineChars="200"/>
        <w:rPr>
          <w:rFonts w:ascii="宋体" w:hAnsi="宋体" w:cs="宋体"/>
          <w:color w:val="auto"/>
          <w:szCs w:val="21"/>
          <w:highlight w:val="none"/>
        </w:rPr>
      </w:pPr>
      <w:r>
        <w:rPr>
          <w:rFonts w:hint="eastAsia" w:ascii="宋体" w:hAnsi="宋体" w:cs="宋体"/>
          <w:b/>
          <w:color w:val="auto"/>
          <w:szCs w:val="21"/>
          <w:highlight w:val="none"/>
        </w:rPr>
        <w:t>第三条　权利保证</w:t>
      </w:r>
    </w:p>
    <w:p w14:paraId="7CD1D2B3">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1.乙方应保证所提供服务在使用时不会侵犯任何第三方的专利权、商标权、工业设计权等知识产权及其他合法权利，且所有权、处分权等没有受到任何限制。</w:t>
      </w:r>
    </w:p>
    <w:p w14:paraId="3DD51D62">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2.没有甲方事先书面同意，乙方不得将由甲方提供的有关合同或者任何合同条文、规格、计划、图纸、样品或者资料提供给与履行本合同无关的任何其他人。即使向履行本合同有关的人员提供，也应注意保密并限于履行合同的必需范围。乙方的保密义务持续有效，不因为本合同履行终止、解除或者无效而解除。</w:t>
      </w:r>
    </w:p>
    <w:p w14:paraId="43486238">
      <w:pPr>
        <w:spacing w:line="360" w:lineRule="auto"/>
        <w:ind w:firstLine="422" w:firstLineChars="200"/>
        <w:rPr>
          <w:rFonts w:ascii="宋体" w:hAnsi="宋体" w:cs="宋体"/>
          <w:color w:val="auto"/>
          <w:szCs w:val="21"/>
          <w:highlight w:val="none"/>
        </w:rPr>
      </w:pPr>
      <w:r>
        <w:rPr>
          <w:rFonts w:hint="eastAsia" w:ascii="宋体" w:hAnsi="宋体" w:cs="宋体"/>
          <w:b/>
          <w:color w:val="auto"/>
          <w:szCs w:val="21"/>
          <w:highlight w:val="none"/>
        </w:rPr>
        <w:t>第四条　交付和验收</w:t>
      </w:r>
    </w:p>
    <w:p w14:paraId="0441553B">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1.服务期：</w:t>
      </w:r>
      <w:r>
        <w:rPr>
          <w:rFonts w:hint="eastAsia" w:ascii="宋体" w:hAnsi="宋体"/>
          <w:color w:val="auto"/>
          <w:szCs w:val="21"/>
          <w:highlight w:val="none"/>
          <w:u w:val="single"/>
          <w:lang w:eastAsia="zh-CN"/>
        </w:rPr>
        <w:t>自合同签订之日起2年，</w:t>
      </w:r>
      <w:r>
        <w:rPr>
          <w:rFonts w:hint="eastAsia" w:ascii="宋体" w:hAnsi="宋体"/>
          <w:color w:val="auto"/>
          <w:szCs w:val="21"/>
          <w:highlight w:val="none"/>
          <w:u w:val="single"/>
          <w:lang w:val="en-US" w:eastAsia="zh-CN"/>
        </w:rPr>
        <w:t xml:space="preserve">具体时间：                 </w:t>
      </w:r>
      <w:r>
        <w:rPr>
          <w:rFonts w:hint="eastAsia" w:ascii="宋体" w:hAnsi="宋体" w:cs="宋体"/>
          <w:color w:val="auto"/>
          <w:szCs w:val="21"/>
          <w:highlight w:val="none"/>
        </w:rPr>
        <w:t>。</w:t>
      </w:r>
    </w:p>
    <w:p w14:paraId="439B3A84">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服务地点：</w:t>
      </w:r>
      <w:r>
        <w:rPr>
          <w:rFonts w:hint="default" w:ascii="宋体" w:hAnsi="宋体" w:eastAsia="宋体" w:cs="宋体"/>
          <w:color w:val="auto"/>
          <w:szCs w:val="21"/>
          <w:highlight w:val="none"/>
          <w:u w:val="single"/>
        </w:rPr>
        <w:t>广西出入境边防检查总站</w:t>
      </w:r>
      <w:r>
        <w:rPr>
          <w:rFonts w:hint="default" w:ascii="宋体" w:hAnsi="宋体" w:eastAsia="宋体" w:cs="宋体"/>
          <w:color w:val="auto"/>
          <w:szCs w:val="21"/>
          <w:highlight w:val="none"/>
          <w:u w:val="single"/>
          <w:lang w:eastAsia="zh-CN"/>
        </w:rPr>
        <w:t>所属</w:t>
      </w:r>
      <w:r>
        <w:rPr>
          <w:rFonts w:hint="default" w:ascii="宋体" w:hAnsi="宋体" w:eastAsia="宋体" w:cs="宋体"/>
          <w:color w:val="auto"/>
          <w:szCs w:val="21"/>
          <w:highlight w:val="none"/>
          <w:u w:val="single"/>
          <w:lang w:val="en-US" w:eastAsia="zh-CN"/>
        </w:rPr>
        <w:t>站级单位，以实际安排为准</w:t>
      </w:r>
      <w:r>
        <w:rPr>
          <w:rFonts w:hint="eastAsia" w:ascii="宋体" w:hAnsi="宋体" w:eastAsia="宋体" w:cs="宋体"/>
          <w:color w:val="auto"/>
          <w:szCs w:val="21"/>
          <w:highlight w:val="none"/>
          <w:u w:val="single"/>
        </w:rPr>
        <w:t>。</w:t>
      </w:r>
    </w:p>
    <w:p w14:paraId="67868BCA">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2.乙方应按响应文件的承诺向甲方提供相应的服务，并提供所服务内容的相关技术资料</w:t>
      </w:r>
      <w:r>
        <w:rPr>
          <w:rFonts w:hint="eastAsia" w:ascii="宋体" w:hAnsi="宋体" w:cs="宋体"/>
          <w:color w:val="auto"/>
          <w:szCs w:val="21"/>
          <w:highlight w:val="none"/>
          <w:lang w:eastAsia="zh-CN"/>
        </w:rPr>
        <w:t>，项目审计完成后乙方撰写审计报告、出具审核报告</w:t>
      </w:r>
      <w:r>
        <w:rPr>
          <w:rFonts w:hint="eastAsia" w:ascii="宋体" w:hAnsi="宋体" w:cs="宋体"/>
          <w:color w:val="auto"/>
          <w:szCs w:val="21"/>
          <w:highlight w:val="none"/>
        </w:rPr>
        <w:t>。</w:t>
      </w:r>
    </w:p>
    <w:p w14:paraId="621BE3F7">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3.乙方提供不符合响应文件和本合同规定的服务成果，甲方有权拒绝接受。</w:t>
      </w:r>
    </w:p>
    <w:p w14:paraId="005EFA50">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4.乙方完成服务后应及时书面通知甲方进行验收，甲方应在收到通知后七个工作日内进行验收，逾期不开始验收的，乙方可视同验收合格。验收合格后由甲乙双方签署验收单并加盖采购人公章，甲乙双方各执一份。</w:t>
      </w:r>
    </w:p>
    <w:p w14:paraId="13F48D1D">
      <w:pPr>
        <w:spacing w:line="360" w:lineRule="auto"/>
        <w:ind w:firstLine="420" w:firstLineChars="200"/>
        <w:rPr>
          <w:rFonts w:ascii="宋体" w:hAnsi="宋体"/>
          <w:color w:val="auto"/>
          <w:szCs w:val="21"/>
          <w:highlight w:val="none"/>
        </w:rPr>
      </w:pPr>
      <w:r>
        <w:rPr>
          <w:rFonts w:hint="eastAsia" w:ascii="宋体" w:hAnsi="宋体" w:cs="宋体"/>
          <w:color w:val="auto"/>
          <w:szCs w:val="21"/>
          <w:highlight w:val="none"/>
        </w:rPr>
        <w:t>5.甲乙双方应按照双方合同、响应文件验收。</w:t>
      </w:r>
    </w:p>
    <w:p w14:paraId="5636D6E9">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6.甲方在初步验收或者最终验收过程中如发现乙方提供的服务成果不满足响应文件及本合同规定的，可暂缓向乙方付款，直到乙方及时完善并提交相应的服务成果且经甲方验收合格后，方可办理付款。</w:t>
      </w:r>
    </w:p>
    <w:p w14:paraId="4875F667">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7.甲方验收时以书面形式提出异议的，乙方应自收到甲方书面异议后五个工作日内及时予以解决，否则甲方有权不出具服务验收合格单。</w:t>
      </w:r>
    </w:p>
    <w:p w14:paraId="1710337B">
      <w:pPr>
        <w:snapToGrid w:val="0"/>
        <w:spacing w:line="360" w:lineRule="auto"/>
        <w:ind w:firstLine="422" w:firstLineChars="200"/>
        <w:rPr>
          <w:rFonts w:ascii="宋体" w:hAnsi="宋体" w:cs="宋体"/>
          <w:b/>
          <w:color w:val="auto"/>
          <w:szCs w:val="21"/>
          <w:highlight w:val="none"/>
        </w:rPr>
      </w:pPr>
      <w:r>
        <w:rPr>
          <w:rFonts w:hint="eastAsia" w:ascii="宋体" w:hAnsi="宋体" w:cs="宋体"/>
          <w:b/>
          <w:color w:val="auto"/>
          <w:szCs w:val="21"/>
          <w:highlight w:val="none"/>
        </w:rPr>
        <w:t>第五条  售后服务及培训</w:t>
      </w:r>
    </w:p>
    <w:p w14:paraId="7183BC41">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乙方应按照国家有关法律法规、响应文件和本合同要求为甲方提供相应的售后服务。</w:t>
      </w:r>
    </w:p>
    <w:p w14:paraId="4C75BE14">
      <w:pPr>
        <w:snapToGrid w:val="0"/>
        <w:spacing w:line="360" w:lineRule="auto"/>
        <w:ind w:firstLine="422" w:firstLineChars="200"/>
        <w:rPr>
          <w:rFonts w:ascii="宋体" w:hAnsi="宋体" w:cs="宋体"/>
          <w:b/>
          <w:color w:val="auto"/>
          <w:szCs w:val="21"/>
          <w:highlight w:val="none"/>
        </w:rPr>
      </w:pPr>
      <w:r>
        <w:rPr>
          <w:rFonts w:hint="eastAsia" w:ascii="宋体" w:hAnsi="宋体" w:cs="宋体"/>
          <w:b/>
          <w:color w:val="auto"/>
          <w:szCs w:val="21"/>
          <w:highlight w:val="none"/>
        </w:rPr>
        <w:t>第六条　付款方式</w:t>
      </w:r>
    </w:p>
    <w:p w14:paraId="542395EB">
      <w:pPr>
        <w:keepNext w:val="0"/>
        <w:keepLines w:val="0"/>
        <w:pageBreakBefore w:val="0"/>
        <w:widowControl/>
        <w:kinsoku/>
        <w:wordWrap/>
        <w:overflowPunct/>
        <w:topLinePunct w:val="0"/>
        <w:autoSpaceDE/>
        <w:autoSpaceDN/>
        <w:bidi w:val="0"/>
        <w:adjustRightInd/>
        <w:spacing w:afterAutospacing="0" w:line="360" w:lineRule="auto"/>
        <w:ind w:left="0" w:leftChars="0" w:firstLine="420" w:firstLineChars="200"/>
        <w:jc w:val="left"/>
        <w:textAlignment w:val="auto"/>
        <w:rPr>
          <w:rFonts w:hint="default" w:ascii="Times New Roman" w:hAnsi="Times New Roman" w:eastAsia="宋体" w:cs="Times New Roman"/>
          <w:color w:val="auto"/>
          <w:highlight w:val="none"/>
          <w:lang w:val="en-US" w:eastAsia="zh-CN"/>
        </w:rPr>
      </w:pPr>
      <w:r>
        <w:rPr>
          <w:rFonts w:hint="eastAsia" w:cs="Times New Roman"/>
          <w:color w:val="auto"/>
          <w:highlight w:val="none"/>
          <w:lang w:val="en-US" w:eastAsia="zh-CN"/>
        </w:rPr>
        <w:t>1.</w:t>
      </w:r>
      <w:r>
        <w:rPr>
          <w:rFonts w:hint="default" w:ascii="Times New Roman" w:hAnsi="Times New Roman" w:eastAsia="宋体" w:cs="Times New Roman"/>
          <w:color w:val="auto"/>
          <w:highlight w:val="none"/>
          <w:lang w:eastAsia="zh-CN"/>
        </w:rPr>
        <w:t>根据派出的人员类型人数、天数，结合成交供应商承诺的合同单价</w:t>
      </w:r>
      <w:r>
        <w:rPr>
          <w:rFonts w:hint="eastAsia" w:ascii="Times New Roman" w:hAnsi="Times New Roman" w:eastAsia="宋体" w:cs="Times New Roman"/>
          <w:color w:val="auto"/>
          <w:highlight w:val="none"/>
          <w:lang w:eastAsia="zh-CN"/>
        </w:rPr>
        <w:t>据实</w:t>
      </w:r>
      <w:r>
        <w:rPr>
          <w:rFonts w:hint="default" w:ascii="Times New Roman" w:hAnsi="Times New Roman" w:eastAsia="宋体" w:cs="Times New Roman"/>
          <w:color w:val="auto"/>
          <w:highlight w:val="none"/>
          <w:lang w:eastAsia="zh-CN"/>
        </w:rPr>
        <w:t>结算。</w:t>
      </w:r>
      <w:r>
        <w:rPr>
          <w:rFonts w:hint="default" w:ascii="Times New Roman" w:hAnsi="Times New Roman" w:eastAsia="宋体" w:cs="Times New Roman"/>
          <w:color w:val="auto"/>
          <w:highlight w:val="none"/>
          <w:lang w:val="en-US" w:eastAsia="zh-CN"/>
        </w:rPr>
        <w:t>供应商</w:t>
      </w:r>
      <w:r>
        <w:rPr>
          <w:rFonts w:hint="eastAsia" w:ascii="Times New Roman" w:hAnsi="Times New Roman" w:eastAsia="宋体" w:cs="Times New Roman"/>
          <w:color w:val="auto"/>
          <w:highlight w:val="none"/>
          <w:lang w:val="en-US" w:eastAsia="zh-CN"/>
        </w:rPr>
        <w:t>每年</w:t>
      </w:r>
      <w:r>
        <w:rPr>
          <w:rFonts w:hint="default" w:ascii="Times New Roman" w:hAnsi="Times New Roman" w:eastAsia="宋体" w:cs="Times New Roman"/>
          <w:color w:val="auto"/>
          <w:highlight w:val="none"/>
          <w:lang w:val="en-US" w:eastAsia="zh-CN"/>
        </w:rPr>
        <w:t>完成协审任务且符合行业协会</w:t>
      </w:r>
      <w:r>
        <w:rPr>
          <w:rFonts w:hint="default" w:ascii="Times New Roman" w:hAnsi="Times New Roman" w:eastAsia="宋体" w:cs="Times New Roman"/>
          <w:color w:val="auto"/>
          <w:highlight w:val="none"/>
          <w:lang w:val="zh-CN" w:eastAsia="zh-CN"/>
        </w:rPr>
        <w:t>标准和内部审计准则</w:t>
      </w:r>
      <w:r>
        <w:rPr>
          <w:rFonts w:hint="default" w:ascii="Times New Roman" w:hAnsi="Times New Roman" w:eastAsia="宋体" w:cs="Times New Roman"/>
          <w:color w:val="auto"/>
          <w:highlight w:val="none"/>
          <w:lang w:val="en-US" w:eastAsia="zh-CN"/>
        </w:rPr>
        <w:t>要求经验收合格，并出具付款申请及等额</w:t>
      </w:r>
      <w:r>
        <w:rPr>
          <w:rFonts w:hint="eastAsia" w:cs="Times New Roman"/>
          <w:color w:val="auto"/>
          <w:highlight w:val="none"/>
          <w:lang w:val="en-US" w:eastAsia="zh-CN"/>
        </w:rPr>
        <w:t>合法</w:t>
      </w:r>
      <w:r>
        <w:rPr>
          <w:rFonts w:hint="default" w:ascii="Times New Roman" w:hAnsi="Times New Roman" w:eastAsia="宋体" w:cs="Times New Roman"/>
          <w:color w:val="auto"/>
          <w:highlight w:val="none"/>
          <w:lang w:val="en-US" w:eastAsia="zh-CN"/>
        </w:rPr>
        <w:t>发票后，</w:t>
      </w:r>
      <w:r>
        <w:rPr>
          <w:rFonts w:hint="eastAsia" w:ascii="Times New Roman" w:hAnsi="Times New Roman" w:eastAsia="宋体" w:cs="Times New Roman"/>
          <w:color w:val="auto"/>
          <w:highlight w:val="none"/>
          <w:lang w:val="en-US" w:eastAsia="zh-CN"/>
        </w:rPr>
        <w:t>采购人</w:t>
      </w:r>
      <w:r>
        <w:rPr>
          <w:rFonts w:hint="default" w:ascii="Times New Roman" w:hAnsi="Times New Roman" w:eastAsia="宋体" w:cs="Times New Roman"/>
          <w:color w:val="auto"/>
          <w:highlight w:val="none"/>
          <w:lang w:val="en-US" w:eastAsia="zh-CN"/>
        </w:rPr>
        <w:t>在收到付款申请材料后30日内支付</w:t>
      </w:r>
      <w:r>
        <w:rPr>
          <w:rFonts w:hint="eastAsia" w:cs="Times New Roman"/>
          <w:color w:val="auto"/>
          <w:highlight w:val="none"/>
          <w:lang w:val="en-US" w:eastAsia="zh-CN"/>
        </w:rPr>
        <w:t>委托服务</w:t>
      </w:r>
      <w:r>
        <w:rPr>
          <w:rFonts w:hint="default" w:ascii="Times New Roman" w:hAnsi="Times New Roman" w:eastAsia="宋体" w:cs="Times New Roman"/>
          <w:color w:val="auto"/>
          <w:highlight w:val="none"/>
          <w:lang w:val="en-US" w:eastAsia="zh-CN"/>
        </w:rPr>
        <w:t>费。</w:t>
      </w:r>
    </w:p>
    <w:p w14:paraId="1DA5996D">
      <w:pPr>
        <w:spacing w:line="360" w:lineRule="auto"/>
        <w:ind w:firstLine="420" w:firstLineChars="200"/>
        <w:rPr>
          <w:rFonts w:hint="eastAsia" w:ascii="宋体" w:hAnsi="宋体" w:cs="宋体"/>
          <w:b w:val="0"/>
          <w:bCs/>
          <w:color w:val="auto"/>
          <w:szCs w:val="21"/>
          <w:highlight w:val="none"/>
          <w:lang w:val="en-US" w:eastAsia="zh-CN"/>
        </w:rPr>
      </w:pPr>
      <w:r>
        <w:rPr>
          <w:rFonts w:hint="eastAsia" w:cs="Times New Roman"/>
          <w:color w:val="auto"/>
          <w:highlight w:val="none"/>
          <w:lang w:val="en-US" w:eastAsia="zh-CN"/>
        </w:rPr>
        <w:t>2.</w:t>
      </w:r>
      <w:r>
        <w:rPr>
          <w:rFonts w:hint="eastAsia" w:ascii="Times New Roman" w:hAnsi="Times New Roman" w:eastAsia="宋体" w:cs="Times New Roman"/>
          <w:color w:val="auto"/>
          <w:highlight w:val="none"/>
          <w:lang w:val="en-US" w:eastAsia="zh-CN"/>
        </w:rPr>
        <w:t>供应商提交工作成果如验收不合格，须修改完善，否则验收不通过，其修改、完善工作成果耗用的时间不认为是工作时间，不计算服务费用</w:t>
      </w:r>
    </w:p>
    <w:p w14:paraId="4FBA6CFA">
      <w:pPr>
        <w:spacing w:line="360" w:lineRule="auto"/>
        <w:ind w:firstLine="422" w:firstLineChars="200"/>
        <w:rPr>
          <w:rFonts w:ascii="宋体" w:hAnsi="宋体" w:cs="宋体"/>
          <w:b/>
          <w:color w:val="auto"/>
          <w:szCs w:val="21"/>
          <w:highlight w:val="none"/>
        </w:rPr>
      </w:pPr>
      <w:r>
        <w:rPr>
          <w:rFonts w:hint="eastAsia" w:ascii="宋体" w:hAnsi="宋体" w:cs="宋体"/>
          <w:b/>
          <w:color w:val="auto"/>
          <w:szCs w:val="21"/>
          <w:highlight w:val="none"/>
        </w:rPr>
        <w:t>第七条　履约保证金</w:t>
      </w:r>
    </w:p>
    <w:p w14:paraId="1508353E">
      <w:pPr>
        <w:spacing w:line="360" w:lineRule="auto"/>
        <w:ind w:firstLine="420" w:firstLineChars="200"/>
        <w:jc w:val="left"/>
        <w:rPr>
          <w:rFonts w:ascii="宋体" w:hAnsi="宋体" w:cs="宋体"/>
          <w:bCs/>
          <w:color w:val="auto"/>
          <w:szCs w:val="21"/>
          <w:highlight w:val="none"/>
        </w:rPr>
      </w:pPr>
      <w:r>
        <w:rPr>
          <w:rFonts w:hint="eastAsia" w:ascii="宋体" w:hAnsi="宋体" w:cs="宋体"/>
          <w:bCs/>
          <w:color w:val="auto"/>
          <w:szCs w:val="21"/>
          <w:highlight w:val="none"/>
        </w:rPr>
        <w:t>本项目不收取履约保证金</w:t>
      </w:r>
      <w:r>
        <w:rPr>
          <w:rFonts w:hint="eastAsia" w:hAnsi="宋体"/>
          <w:color w:val="auto"/>
          <w:highlight w:val="none"/>
        </w:rPr>
        <w:t>。</w:t>
      </w:r>
    </w:p>
    <w:p w14:paraId="11C8A147">
      <w:pPr>
        <w:spacing w:line="360" w:lineRule="auto"/>
        <w:ind w:firstLine="422" w:firstLineChars="200"/>
        <w:rPr>
          <w:rFonts w:ascii="宋体" w:hAnsi="宋体" w:cs="宋体"/>
          <w:b/>
          <w:color w:val="auto"/>
          <w:szCs w:val="21"/>
          <w:highlight w:val="none"/>
        </w:rPr>
      </w:pPr>
      <w:r>
        <w:rPr>
          <w:rFonts w:hint="eastAsia" w:ascii="宋体" w:hAnsi="宋体" w:cs="宋体"/>
          <w:b/>
          <w:color w:val="auto"/>
          <w:szCs w:val="21"/>
          <w:highlight w:val="none"/>
        </w:rPr>
        <w:t>第八条  税费</w:t>
      </w:r>
    </w:p>
    <w:p w14:paraId="0349ED9E">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本合同执行中相关的一切税费均由乙方负担，合同另有约定的除外。</w:t>
      </w:r>
    </w:p>
    <w:p w14:paraId="53268D99">
      <w:pPr>
        <w:spacing w:line="360" w:lineRule="auto"/>
        <w:ind w:firstLine="422" w:firstLineChars="200"/>
        <w:rPr>
          <w:rFonts w:ascii="宋体" w:hAnsi="宋体" w:cs="宋体"/>
          <w:b/>
          <w:color w:val="auto"/>
          <w:szCs w:val="21"/>
          <w:highlight w:val="none"/>
        </w:rPr>
      </w:pPr>
      <w:r>
        <w:rPr>
          <w:rFonts w:hint="eastAsia" w:ascii="宋体" w:hAnsi="宋体" w:cs="宋体"/>
          <w:b/>
          <w:color w:val="auto"/>
          <w:szCs w:val="21"/>
          <w:highlight w:val="none"/>
        </w:rPr>
        <w:t>第九条　违约责任</w:t>
      </w:r>
    </w:p>
    <w:p w14:paraId="77CEEA9D">
      <w:pPr>
        <w:spacing w:line="360" w:lineRule="auto"/>
        <w:ind w:firstLine="420" w:firstLineChars="200"/>
        <w:rPr>
          <w:rFonts w:ascii="宋体" w:hAnsi="宋体" w:cs="宋体"/>
          <w:bCs/>
          <w:color w:val="auto"/>
          <w:szCs w:val="21"/>
          <w:highlight w:val="none"/>
        </w:rPr>
      </w:pPr>
      <w:r>
        <w:rPr>
          <w:rFonts w:ascii="宋体" w:hAnsi="宋体" w:cs="宋体"/>
          <w:bCs/>
          <w:color w:val="auto"/>
          <w:szCs w:val="21"/>
          <w:highlight w:val="none"/>
        </w:rPr>
        <w:t>1</w:t>
      </w:r>
      <w:r>
        <w:rPr>
          <w:rFonts w:hint="eastAsia" w:ascii="宋体" w:hAnsi="宋体" w:cs="宋体"/>
          <w:bCs/>
          <w:color w:val="auto"/>
          <w:szCs w:val="21"/>
          <w:highlight w:val="none"/>
        </w:rPr>
        <w:t>.乙方未按本合同和响应文件中规定的服务承诺提供服务的，乙方应按本</w:t>
      </w:r>
      <w:r>
        <w:rPr>
          <w:rFonts w:hint="eastAsia" w:ascii="宋体" w:hAnsi="宋体" w:cs="宋体"/>
          <w:bCs/>
          <w:color w:val="auto"/>
          <w:szCs w:val="21"/>
          <w:highlight w:val="none"/>
          <w:lang w:eastAsia="zh-CN"/>
        </w:rPr>
        <w:t>项目</w:t>
      </w:r>
      <w:r>
        <w:rPr>
          <w:rFonts w:hint="eastAsia" w:ascii="宋体" w:hAnsi="宋体" w:cs="宋体"/>
          <w:bCs/>
          <w:color w:val="auto"/>
          <w:szCs w:val="21"/>
          <w:highlight w:val="none"/>
          <w:lang w:val="en-US" w:eastAsia="zh-CN"/>
        </w:rPr>
        <w:t>每年</w:t>
      </w:r>
      <w:r>
        <w:rPr>
          <w:rFonts w:hint="eastAsia" w:ascii="宋体" w:hAnsi="宋体" w:cs="宋体"/>
          <w:bCs/>
          <w:color w:val="auto"/>
          <w:szCs w:val="21"/>
          <w:highlight w:val="none"/>
          <w:lang w:eastAsia="zh-CN"/>
        </w:rPr>
        <w:t>预算</w:t>
      </w:r>
      <w:r>
        <w:rPr>
          <w:rFonts w:hint="eastAsia" w:ascii="宋体" w:hAnsi="宋体" w:cs="宋体"/>
          <w:bCs/>
          <w:color w:val="auto"/>
          <w:szCs w:val="21"/>
          <w:highlight w:val="none"/>
          <w:lang w:val="en-US" w:eastAsia="zh-CN"/>
        </w:rPr>
        <w:t>35万元</w:t>
      </w:r>
      <w:r>
        <w:rPr>
          <w:rFonts w:hint="eastAsia" w:ascii="宋体" w:hAnsi="宋体" w:cs="宋体"/>
          <w:bCs/>
          <w:color w:val="auto"/>
          <w:szCs w:val="21"/>
          <w:highlight w:val="none"/>
          <w:lang w:eastAsia="zh-CN"/>
        </w:rPr>
        <w:t>的</w:t>
      </w:r>
      <w:r>
        <w:rPr>
          <w:rFonts w:hint="eastAsia" w:ascii="宋体" w:hAnsi="宋体" w:cs="宋体"/>
          <w:bCs/>
          <w:color w:val="auto"/>
          <w:szCs w:val="21"/>
          <w:highlight w:val="none"/>
          <w:lang w:val="en-US" w:eastAsia="zh-CN"/>
        </w:rPr>
        <w:t>5%</w:t>
      </w:r>
      <w:r>
        <w:rPr>
          <w:rFonts w:hint="eastAsia" w:ascii="宋体" w:hAnsi="宋体" w:cs="宋体"/>
          <w:bCs/>
          <w:color w:val="auto"/>
          <w:szCs w:val="21"/>
          <w:highlight w:val="none"/>
        </w:rPr>
        <w:t>向甲方支付违约金。</w:t>
      </w:r>
    </w:p>
    <w:p w14:paraId="6A42FE01">
      <w:pPr>
        <w:spacing w:line="360" w:lineRule="auto"/>
        <w:ind w:firstLine="420" w:firstLineChars="200"/>
        <w:rPr>
          <w:rFonts w:hint="eastAsia" w:ascii="宋体" w:hAnsi="宋体" w:cs="宋体"/>
          <w:bCs/>
          <w:color w:val="auto"/>
          <w:szCs w:val="21"/>
          <w:highlight w:val="none"/>
        </w:rPr>
      </w:pPr>
      <w:r>
        <w:rPr>
          <w:rFonts w:ascii="宋体" w:hAnsi="宋体" w:cs="宋体"/>
          <w:bCs/>
          <w:color w:val="auto"/>
          <w:szCs w:val="21"/>
          <w:highlight w:val="none"/>
        </w:rPr>
        <w:t>2</w:t>
      </w:r>
      <w:r>
        <w:rPr>
          <w:rFonts w:hint="eastAsia" w:ascii="宋体" w:hAnsi="宋体" w:cs="宋体"/>
          <w:bCs/>
          <w:color w:val="auto"/>
          <w:szCs w:val="21"/>
          <w:highlight w:val="none"/>
        </w:rPr>
        <w:t>.</w:t>
      </w:r>
      <w:r>
        <w:rPr>
          <w:rFonts w:hint="eastAsia" w:ascii="宋体" w:hAnsi="宋体" w:cs="宋体"/>
          <w:bCs/>
          <w:color w:val="auto"/>
          <w:szCs w:val="21"/>
          <w:highlight w:val="none"/>
          <w:lang w:val="en-US" w:eastAsia="zh-CN"/>
        </w:rPr>
        <w:t>如合同期内服务费用结算前各级审计、巡视中发现问题，属于供应商未达到服务要求，每发现1个问题，供应商须向采购人支付年结</w:t>
      </w:r>
      <w:r>
        <w:rPr>
          <w:rFonts w:hint="eastAsia" w:ascii="宋体" w:hAnsi="宋体" w:cs="宋体"/>
          <w:bCs/>
          <w:color w:val="auto"/>
          <w:szCs w:val="21"/>
          <w:highlight w:val="none"/>
          <w:lang w:eastAsia="zh-CN"/>
        </w:rPr>
        <w:t>算金额总价0.1%作为违约金，最高支付不超</w:t>
      </w:r>
      <w:r>
        <w:rPr>
          <w:rFonts w:hint="eastAsia" w:ascii="宋体" w:hAnsi="宋体" w:cs="宋体"/>
          <w:bCs/>
          <w:color w:val="auto"/>
          <w:szCs w:val="21"/>
          <w:highlight w:val="none"/>
          <w:lang w:val="en-US" w:eastAsia="zh-CN"/>
        </w:rPr>
        <w:t>过每年</w:t>
      </w:r>
      <w:r>
        <w:rPr>
          <w:rFonts w:hint="eastAsia" w:ascii="宋体" w:hAnsi="宋体" w:cs="宋体"/>
          <w:bCs/>
          <w:color w:val="auto"/>
          <w:szCs w:val="21"/>
          <w:highlight w:val="none"/>
          <w:lang w:eastAsia="zh-CN"/>
        </w:rPr>
        <w:t>预算</w:t>
      </w:r>
      <w:r>
        <w:rPr>
          <w:rFonts w:hint="eastAsia" w:ascii="宋体" w:hAnsi="宋体" w:cs="宋体"/>
          <w:bCs/>
          <w:color w:val="auto"/>
          <w:szCs w:val="21"/>
          <w:highlight w:val="none"/>
          <w:lang w:val="en-US" w:eastAsia="zh-CN"/>
        </w:rPr>
        <w:t>35万元</w:t>
      </w:r>
      <w:r>
        <w:rPr>
          <w:rFonts w:hint="eastAsia" w:ascii="宋体" w:hAnsi="宋体" w:cs="宋体"/>
          <w:bCs/>
          <w:color w:val="auto"/>
          <w:szCs w:val="21"/>
          <w:highlight w:val="none"/>
          <w:lang w:eastAsia="zh-CN"/>
        </w:rPr>
        <w:t>的</w:t>
      </w:r>
      <w:r>
        <w:rPr>
          <w:rFonts w:hint="eastAsia" w:ascii="宋体" w:hAnsi="宋体" w:cs="宋体"/>
          <w:bCs/>
          <w:color w:val="auto"/>
          <w:szCs w:val="21"/>
          <w:highlight w:val="none"/>
          <w:lang w:val="en-US" w:eastAsia="zh-CN"/>
        </w:rPr>
        <w:t>5</w:t>
      </w:r>
      <w:r>
        <w:rPr>
          <w:rFonts w:hint="eastAsia" w:ascii="宋体" w:hAnsi="宋体" w:cs="宋体"/>
          <w:bCs/>
          <w:color w:val="auto"/>
          <w:szCs w:val="21"/>
          <w:highlight w:val="none"/>
          <w:lang w:eastAsia="zh-CN"/>
        </w:rPr>
        <w:t>%。如合同结算款未支付，则从合同结算款中扣减相应违约金。</w:t>
      </w:r>
    </w:p>
    <w:p w14:paraId="2653DB37">
      <w:pPr>
        <w:spacing w:line="360" w:lineRule="auto"/>
        <w:ind w:firstLine="420" w:firstLineChars="200"/>
        <w:rPr>
          <w:rFonts w:ascii="宋体" w:hAnsi="宋体" w:cs="宋体"/>
          <w:bCs/>
          <w:color w:val="auto"/>
          <w:szCs w:val="21"/>
          <w:highlight w:val="none"/>
        </w:rPr>
      </w:pPr>
      <w:r>
        <w:rPr>
          <w:rFonts w:ascii="宋体" w:hAnsi="宋体" w:cs="宋体"/>
          <w:bCs/>
          <w:color w:val="auto"/>
          <w:szCs w:val="21"/>
          <w:highlight w:val="none"/>
        </w:rPr>
        <w:t>3</w:t>
      </w:r>
      <w:r>
        <w:rPr>
          <w:rFonts w:hint="eastAsia" w:ascii="宋体" w:hAnsi="宋体" w:cs="宋体"/>
          <w:bCs/>
          <w:color w:val="auto"/>
          <w:szCs w:val="21"/>
          <w:highlight w:val="none"/>
        </w:rPr>
        <w:t>.乙方支付的违约金不足以弥补甲方损失的，还应承担赔偿责任。</w:t>
      </w:r>
    </w:p>
    <w:p w14:paraId="2214A093">
      <w:pPr>
        <w:spacing w:line="440" w:lineRule="exact"/>
        <w:ind w:firstLine="420" w:firstLineChars="200"/>
        <w:rPr>
          <w:rFonts w:ascii="宋体" w:hAnsi="宋体" w:cs="宋体"/>
          <w:b/>
          <w:bCs/>
          <w:color w:val="auto"/>
          <w:szCs w:val="21"/>
          <w:highlight w:val="none"/>
        </w:rPr>
      </w:pPr>
      <w:r>
        <w:rPr>
          <w:rFonts w:ascii="宋体" w:hAnsi="宋体" w:cs="宋体"/>
          <w:bCs/>
          <w:color w:val="auto"/>
          <w:szCs w:val="21"/>
          <w:highlight w:val="none"/>
        </w:rPr>
        <w:t>4</w:t>
      </w:r>
      <w:r>
        <w:rPr>
          <w:rFonts w:hint="eastAsia" w:ascii="宋体" w:hAnsi="宋体" w:cs="宋体"/>
          <w:bCs/>
          <w:color w:val="auto"/>
          <w:szCs w:val="21"/>
          <w:highlight w:val="none"/>
        </w:rPr>
        <w:t>.在合同履行过程中或项目完成后，甲方如发现乙方有串通竞标、弄虚作假等违法行为，甲方有权向监督管理部门报告，乙方按2年预算金额</w:t>
      </w:r>
      <w:r>
        <w:rPr>
          <w:rFonts w:hint="eastAsia" w:ascii="宋体" w:hAnsi="宋体" w:cs="宋体"/>
          <w:bCs/>
          <w:color w:val="auto"/>
          <w:szCs w:val="21"/>
          <w:highlight w:val="none"/>
          <w:lang w:eastAsia="zh-CN"/>
        </w:rPr>
        <w:t>的</w:t>
      </w:r>
      <w:r>
        <w:rPr>
          <w:rFonts w:hint="eastAsia" w:ascii="宋体" w:hAnsi="宋体" w:cs="宋体"/>
          <w:bCs/>
          <w:color w:val="auto"/>
          <w:szCs w:val="21"/>
          <w:highlight w:val="none"/>
          <w:lang w:val="en-US" w:eastAsia="zh-CN"/>
        </w:rPr>
        <w:t xml:space="preserve">20% </w:t>
      </w:r>
      <w:r>
        <w:rPr>
          <w:rFonts w:hint="eastAsia" w:ascii="宋体" w:hAnsi="宋体" w:cs="宋体"/>
          <w:bCs/>
          <w:color w:val="auto"/>
          <w:szCs w:val="21"/>
          <w:highlight w:val="none"/>
        </w:rPr>
        <w:t>向甲方支付违约金</w:t>
      </w:r>
      <w:r>
        <w:rPr>
          <w:rFonts w:hint="eastAsia" w:ascii="宋体" w:hAnsi="宋体" w:cs="宋体"/>
          <w:b/>
          <w:bCs/>
          <w:color w:val="auto"/>
          <w:szCs w:val="21"/>
          <w:highlight w:val="none"/>
        </w:rPr>
        <w:t>，并不免除违法供应商的行政与刑事责任。</w:t>
      </w:r>
    </w:p>
    <w:p w14:paraId="20DC6155">
      <w:pPr>
        <w:spacing w:line="360" w:lineRule="auto"/>
        <w:ind w:firstLine="420" w:firstLineChars="200"/>
        <w:rPr>
          <w:color w:val="auto"/>
          <w:highlight w:val="none"/>
        </w:rPr>
      </w:pPr>
      <w:r>
        <w:rPr>
          <w:rFonts w:hint="eastAsia"/>
          <w:color w:val="auto"/>
          <w:highlight w:val="none"/>
        </w:rPr>
        <w:t>5.乙方出现以下情形之一的，甲方有权即时解除合同，不再支付出现下述情形审计（协审）项目的</w:t>
      </w:r>
      <w:r>
        <w:rPr>
          <w:rFonts w:hint="eastAsia"/>
          <w:color w:val="auto"/>
          <w:highlight w:val="none"/>
          <w:lang w:val="en-US" w:eastAsia="zh-CN"/>
        </w:rPr>
        <w:t>协审服务费</w:t>
      </w:r>
      <w:r>
        <w:rPr>
          <w:rFonts w:hint="eastAsia"/>
          <w:color w:val="auto"/>
          <w:highlight w:val="none"/>
        </w:rPr>
        <w:t>，造成甲方损失的乙方同时承担相应的经济责任和法律责任：</w:t>
      </w:r>
    </w:p>
    <w:p w14:paraId="205121B2">
      <w:pPr>
        <w:spacing w:line="360" w:lineRule="auto"/>
        <w:ind w:firstLine="420" w:firstLineChars="200"/>
        <w:rPr>
          <w:color w:val="auto"/>
          <w:highlight w:val="none"/>
        </w:rPr>
      </w:pPr>
      <w:r>
        <w:rPr>
          <w:rFonts w:hint="eastAsia"/>
          <w:color w:val="auto"/>
          <w:highlight w:val="none"/>
        </w:rPr>
        <w:t xml:space="preserve">（1）违反审计廉政纪律的； </w:t>
      </w:r>
    </w:p>
    <w:p w14:paraId="3B7F73CB">
      <w:pPr>
        <w:spacing w:line="360" w:lineRule="auto"/>
        <w:ind w:firstLine="420" w:firstLineChars="200"/>
        <w:rPr>
          <w:rFonts w:hint="eastAsia"/>
          <w:color w:val="auto"/>
          <w:highlight w:val="none"/>
        </w:rPr>
      </w:pPr>
      <w:r>
        <w:rPr>
          <w:rFonts w:hint="eastAsia"/>
          <w:color w:val="auto"/>
          <w:highlight w:val="none"/>
        </w:rPr>
        <w:t>（2）一年内，乙方</w:t>
      </w:r>
      <w:r>
        <w:rPr>
          <w:rFonts w:hint="eastAsia"/>
          <w:color w:val="auto"/>
          <w:highlight w:val="none"/>
          <w:lang w:eastAsia="zh-CN"/>
        </w:rPr>
        <w:t>审计项目</w:t>
      </w:r>
      <w:r>
        <w:rPr>
          <w:rFonts w:hint="eastAsia"/>
          <w:color w:val="auto"/>
          <w:highlight w:val="none"/>
        </w:rPr>
        <w:t>等出现普通技术性错误4处（含）以上的，或关键技术性错误（比如甲方或甲方的上级等部门审查发现的关键技术性错误）2处（含）以上的；</w:t>
      </w:r>
    </w:p>
    <w:p w14:paraId="01A4B434">
      <w:pPr>
        <w:spacing w:line="360" w:lineRule="auto"/>
        <w:ind w:firstLine="420" w:firstLineChars="200"/>
        <w:rPr>
          <w:color w:val="auto"/>
          <w:highlight w:val="none"/>
        </w:rPr>
      </w:pPr>
      <w:r>
        <w:rPr>
          <w:rFonts w:hint="eastAsia"/>
          <w:color w:val="auto"/>
          <w:highlight w:val="none"/>
        </w:rPr>
        <w:t>（</w:t>
      </w:r>
      <w:r>
        <w:rPr>
          <w:rFonts w:hint="eastAsia"/>
          <w:color w:val="auto"/>
          <w:highlight w:val="none"/>
          <w:lang w:val="en-US" w:eastAsia="zh-CN"/>
        </w:rPr>
        <w:t>3</w:t>
      </w:r>
      <w:r>
        <w:rPr>
          <w:rFonts w:hint="eastAsia"/>
          <w:color w:val="auto"/>
          <w:highlight w:val="none"/>
        </w:rPr>
        <w:t>）未履行合同约定的义务的；</w:t>
      </w:r>
    </w:p>
    <w:p w14:paraId="1C6B7375">
      <w:pPr>
        <w:spacing w:line="360" w:lineRule="auto"/>
        <w:ind w:firstLine="420" w:firstLineChars="200"/>
        <w:rPr>
          <w:color w:val="auto"/>
          <w:highlight w:val="none"/>
        </w:rPr>
      </w:pPr>
      <w:r>
        <w:rPr>
          <w:rFonts w:hint="eastAsia"/>
          <w:color w:val="auto"/>
          <w:highlight w:val="none"/>
        </w:rPr>
        <w:t>（</w:t>
      </w:r>
      <w:r>
        <w:rPr>
          <w:rFonts w:hint="eastAsia"/>
          <w:color w:val="auto"/>
          <w:highlight w:val="none"/>
          <w:lang w:val="en-US" w:eastAsia="zh-CN"/>
        </w:rPr>
        <w:t>4</w:t>
      </w:r>
      <w:r>
        <w:rPr>
          <w:rFonts w:hint="eastAsia"/>
          <w:color w:val="auto"/>
          <w:highlight w:val="none"/>
        </w:rPr>
        <w:t>）实际审计</w:t>
      </w:r>
      <w:r>
        <w:rPr>
          <w:rFonts w:hint="eastAsia"/>
          <w:color w:val="auto"/>
          <w:highlight w:val="none"/>
          <w:lang w:eastAsia="zh-CN"/>
        </w:rPr>
        <w:t>（</w:t>
      </w:r>
      <w:r>
        <w:rPr>
          <w:rFonts w:hint="eastAsia"/>
          <w:color w:val="auto"/>
          <w:highlight w:val="none"/>
          <w:lang w:val="en-US" w:eastAsia="zh-CN"/>
        </w:rPr>
        <w:t>协审</w:t>
      </w:r>
      <w:r>
        <w:rPr>
          <w:rFonts w:hint="eastAsia"/>
          <w:color w:val="auto"/>
          <w:highlight w:val="none"/>
          <w:lang w:eastAsia="zh-CN"/>
        </w:rPr>
        <w:t>）</w:t>
      </w:r>
      <w:r>
        <w:rPr>
          <w:rFonts w:hint="eastAsia"/>
          <w:color w:val="auto"/>
          <w:highlight w:val="none"/>
        </w:rPr>
        <w:t>工作能力差，难以胜任工作或未在时限内完成审计</w:t>
      </w:r>
      <w:r>
        <w:rPr>
          <w:rFonts w:hint="eastAsia"/>
          <w:color w:val="auto"/>
          <w:highlight w:val="none"/>
          <w:lang w:eastAsia="zh-CN"/>
        </w:rPr>
        <w:t>（</w:t>
      </w:r>
      <w:r>
        <w:rPr>
          <w:rFonts w:hint="eastAsia"/>
          <w:color w:val="auto"/>
          <w:highlight w:val="none"/>
          <w:lang w:val="en-US" w:eastAsia="zh-CN"/>
        </w:rPr>
        <w:t>协审</w:t>
      </w:r>
      <w:r>
        <w:rPr>
          <w:rFonts w:hint="eastAsia"/>
          <w:color w:val="auto"/>
          <w:highlight w:val="none"/>
          <w:lang w:eastAsia="zh-CN"/>
        </w:rPr>
        <w:t>）</w:t>
      </w:r>
      <w:r>
        <w:rPr>
          <w:rFonts w:hint="eastAsia"/>
          <w:color w:val="auto"/>
          <w:highlight w:val="none"/>
        </w:rPr>
        <w:t>任务的；</w:t>
      </w:r>
    </w:p>
    <w:p w14:paraId="5A8C7E23">
      <w:pPr>
        <w:spacing w:line="360" w:lineRule="auto"/>
        <w:ind w:firstLine="420" w:firstLineChars="200"/>
        <w:rPr>
          <w:color w:val="auto"/>
          <w:highlight w:val="none"/>
        </w:rPr>
      </w:pPr>
      <w:r>
        <w:rPr>
          <w:rFonts w:hint="eastAsia"/>
          <w:color w:val="auto"/>
          <w:highlight w:val="none"/>
        </w:rPr>
        <w:t>（</w:t>
      </w:r>
      <w:r>
        <w:rPr>
          <w:rFonts w:hint="eastAsia"/>
          <w:color w:val="auto"/>
          <w:highlight w:val="none"/>
          <w:lang w:val="en-US" w:eastAsia="zh-CN"/>
        </w:rPr>
        <w:t>5</w:t>
      </w:r>
      <w:r>
        <w:rPr>
          <w:rFonts w:hint="eastAsia"/>
          <w:color w:val="auto"/>
          <w:highlight w:val="none"/>
        </w:rPr>
        <w:t>）咨询服务态度和服务意识不好的；</w:t>
      </w:r>
    </w:p>
    <w:p w14:paraId="3E59BAE5">
      <w:pPr>
        <w:spacing w:line="360" w:lineRule="auto"/>
        <w:ind w:firstLine="420" w:firstLineChars="200"/>
        <w:rPr>
          <w:color w:val="auto"/>
          <w:highlight w:val="none"/>
        </w:rPr>
      </w:pPr>
      <w:r>
        <w:rPr>
          <w:rFonts w:hint="eastAsia"/>
          <w:color w:val="auto"/>
          <w:highlight w:val="none"/>
        </w:rPr>
        <w:t>（</w:t>
      </w:r>
      <w:r>
        <w:rPr>
          <w:rFonts w:hint="eastAsia"/>
          <w:color w:val="auto"/>
          <w:highlight w:val="none"/>
          <w:lang w:val="en-US" w:eastAsia="zh-CN"/>
        </w:rPr>
        <w:t>6</w:t>
      </w:r>
      <w:r>
        <w:rPr>
          <w:rFonts w:hint="eastAsia"/>
          <w:color w:val="auto"/>
          <w:highlight w:val="none"/>
        </w:rPr>
        <w:t>）不保守甲方单位秘密的；</w:t>
      </w:r>
    </w:p>
    <w:p w14:paraId="469C6C2A">
      <w:pPr>
        <w:spacing w:line="360" w:lineRule="auto"/>
        <w:ind w:firstLine="420" w:firstLineChars="200"/>
        <w:rPr>
          <w:color w:val="auto"/>
          <w:highlight w:val="none"/>
        </w:rPr>
      </w:pPr>
      <w:r>
        <w:rPr>
          <w:rFonts w:hint="eastAsia"/>
          <w:color w:val="auto"/>
          <w:highlight w:val="none"/>
        </w:rPr>
        <w:t>（</w:t>
      </w:r>
      <w:r>
        <w:rPr>
          <w:rFonts w:hint="eastAsia"/>
          <w:color w:val="auto"/>
          <w:highlight w:val="none"/>
          <w:lang w:val="en-US" w:eastAsia="zh-CN"/>
        </w:rPr>
        <w:t>7</w:t>
      </w:r>
      <w:r>
        <w:rPr>
          <w:rFonts w:hint="eastAsia"/>
          <w:color w:val="auto"/>
          <w:highlight w:val="none"/>
        </w:rPr>
        <w:t>）因违反职业道德和违法执业行为受到相关主管部门公开批评或明文处理的。</w:t>
      </w:r>
    </w:p>
    <w:p w14:paraId="459EC4AA">
      <w:pPr>
        <w:spacing w:line="360" w:lineRule="auto"/>
        <w:ind w:firstLine="420" w:firstLineChars="200"/>
        <w:rPr>
          <w:rFonts w:ascii="宋体" w:hAnsi="宋体" w:cs="宋体"/>
          <w:bCs/>
          <w:color w:val="auto"/>
          <w:szCs w:val="21"/>
          <w:highlight w:val="none"/>
        </w:rPr>
      </w:pPr>
      <w:r>
        <w:rPr>
          <w:rFonts w:hint="eastAsia"/>
          <w:color w:val="auto"/>
          <w:highlight w:val="none"/>
        </w:rPr>
        <w:t>（</w:t>
      </w:r>
      <w:r>
        <w:rPr>
          <w:rFonts w:hint="eastAsia"/>
          <w:color w:val="auto"/>
          <w:highlight w:val="none"/>
          <w:lang w:val="en-US" w:eastAsia="zh-CN"/>
        </w:rPr>
        <w:t>8</w:t>
      </w:r>
      <w:r>
        <w:rPr>
          <w:rFonts w:hint="eastAsia"/>
          <w:color w:val="auto"/>
          <w:highlight w:val="none"/>
        </w:rPr>
        <w:t>）发生与第三方串通损害甲方利益的。</w:t>
      </w:r>
    </w:p>
    <w:p w14:paraId="387E7E00">
      <w:pPr>
        <w:spacing w:line="360" w:lineRule="auto"/>
        <w:ind w:firstLine="422" w:firstLineChars="200"/>
        <w:rPr>
          <w:rFonts w:ascii="宋体" w:hAnsi="宋体" w:cs="宋体"/>
          <w:b/>
          <w:color w:val="auto"/>
          <w:szCs w:val="21"/>
          <w:highlight w:val="none"/>
        </w:rPr>
      </w:pPr>
      <w:r>
        <w:rPr>
          <w:rFonts w:hint="eastAsia" w:ascii="宋体" w:hAnsi="宋体" w:cs="宋体"/>
          <w:b/>
          <w:color w:val="auto"/>
          <w:szCs w:val="21"/>
          <w:highlight w:val="none"/>
        </w:rPr>
        <w:t>第十条  不可抗力事件处理</w:t>
      </w:r>
    </w:p>
    <w:p w14:paraId="29EDB24F">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在合同有效期内，任何一方因不可抗力事件导致不能履行合同，则合同履行期可延长，其延长期与不可抗力影响期相同。不可抗力条款中主要包括以下几种情形：（1）自然灾害、如台风、冰雹、地震、海啸、洪水、火山爆发、山体滑坡；（2）政府行为，如征收、征用；（3）社会异常事件，如战争、武装冲突、罢工、骚乱、暴动等。</w:t>
      </w:r>
    </w:p>
    <w:p w14:paraId="1C31CE45">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2.不可抗力事件发生后，应立即通知对方，并寄送有关权威机构出具的证明。</w:t>
      </w:r>
    </w:p>
    <w:p w14:paraId="14D3922B">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3.不可抗力事件延续一百二十天以上，双方应通过友好协商，确定是否继续履行合同。</w:t>
      </w:r>
    </w:p>
    <w:p w14:paraId="1E41649C">
      <w:pPr>
        <w:spacing w:line="360" w:lineRule="auto"/>
        <w:ind w:firstLine="422" w:firstLineChars="200"/>
        <w:rPr>
          <w:rFonts w:ascii="宋体" w:hAnsi="宋体" w:cs="宋体"/>
          <w:color w:val="auto"/>
          <w:szCs w:val="21"/>
          <w:highlight w:val="none"/>
        </w:rPr>
      </w:pPr>
      <w:r>
        <w:rPr>
          <w:rFonts w:hint="eastAsia" w:ascii="宋体" w:hAnsi="宋体" w:cs="宋体"/>
          <w:b/>
          <w:color w:val="auto"/>
          <w:szCs w:val="21"/>
          <w:highlight w:val="none"/>
        </w:rPr>
        <w:t>第十一条  合同争议解决</w:t>
      </w:r>
    </w:p>
    <w:p w14:paraId="57A0E2B5">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1.因服务质量问题发生争议的，应邀请国家认可的质量检测机构进行鉴定。服务符合标准的，鉴定费由甲方承担；服务不符合标准的，鉴定费由乙方承担。</w:t>
      </w:r>
    </w:p>
    <w:p w14:paraId="07EE192D">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2.因履行本合同引起的或者与本合同有关的争议，甲乙双方应首先通过友好协商解决，如果协商不能解决，可向甲方所在地有管辖权的人民法院提起诉讼。</w:t>
      </w:r>
    </w:p>
    <w:p w14:paraId="19D41C18">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3.诉讼期间，本合同中止履行。</w:t>
      </w:r>
    </w:p>
    <w:p w14:paraId="4E5DED4D">
      <w:pPr>
        <w:spacing w:line="360" w:lineRule="auto"/>
        <w:ind w:firstLine="422" w:firstLineChars="200"/>
        <w:rPr>
          <w:rFonts w:ascii="宋体" w:hAnsi="宋体" w:cs="宋体"/>
          <w:b/>
          <w:color w:val="auto"/>
          <w:szCs w:val="21"/>
          <w:highlight w:val="none"/>
        </w:rPr>
      </w:pPr>
      <w:r>
        <w:rPr>
          <w:rFonts w:hint="eastAsia" w:ascii="宋体" w:hAnsi="宋体" w:cs="宋体"/>
          <w:b/>
          <w:color w:val="auto"/>
          <w:szCs w:val="21"/>
          <w:highlight w:val="none"/>
        </w:rPr>
        <w:t>第十二条  合同生效及其它</w:t>
      </w:r>
    </w:p>
    <w:p w14:paraId="7C618392">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1.合同经双方法定代表人或者授权代表签字并加盖单位公章（或合同专用章）后生效（委托代理人签字的需后附法定代表人授权委托书，格式自拟）。</w:t>
      </w:r>
    </w:p>
    <w:p w14:paraId="0487C833">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2.本合同未尽事宜，遵照《中华人民共和国民法典》有关条文执行。</w:t>
      </w:r>
    </w:p>
    <w:p w14:paraId="0930BF46">
      <w:pPr>
        <w:spacing w:line="360" w:lineRule="auto"/>
        <w:ind w:firstLine="422" w:firstLineChars="200"/>
        <w:rPr>
          <w:rFonts w:ascii="宋体" w:hAnsi="宋体" w:cs="宋体"/>
          <w:b/>
          <w:color w:val="auto"/>
          <w:szCs w:val="21"/>
          <w:highlight w:val="none"/>
        </w:rPr>
      </w:pPr>
      <w:r>
        <w:rPr>
          <w:rFonts w:hint="eastAsia" w:ascii="宋体" w:hAnsi="宋体" w:cs="宋体"/>
          <w:b/>
          <w:color w:val="auto"/>
          <w:szCs w:val="21"/>
          <w:highlight w:val="none"/>
        </w:rPr>
        <w:t>第十三条　合同的变更、终止与转让</w:t>
      </w:r>
    </w:p>
    <w:p w14:paraId="07BE7635">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1.除《中华人民共和国政府采购法》第五十条规定的情形外，本合同一经签订，甲乙双方不得擅自变更、中止或者终止。</w:t>
      </w:r>
    </w:p>
    <w:p w14:paraId="4CD29659">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2.乙方不得擅自转让其应履行的合同义务。</w:t>
      </w:r>
    </w:p>
    <w:p w14:paraId="5CD2B028">
      <w:pPr>
        <w:spacing w:line="360" w:lineRule="auto"/>
        <w:ind w:firstLine="422" w:firstLineChars="200"/>
        <w:rPr>
          <w:rFonts w:ascii="宋体" w:hAnsi="宋体" w:cs="宋体"/>
          <w:b/>
          <w:color w:val="auto"/>
          <w:szCs w:val="21"/>
          <w:highlight w:val="none"/>
        </w:rPr>
      </w:pPr>
      <w:r>
        <w:rPr>
          <w:rFonts w:hint="eastAsia" w:ascii="宋体" w:hAnsi="宋体" w:cs="宋体"/>
          <w:b/>
          <w:color w:val="auto"/>
          <w:szCs w:val="21"/>
          <w:highlight w:val="none"/>
        </w:rPr>
        <w:t>第十四条　签订本合同依据</w:t>
      </w:r>
    </w:p>
    <w:p w14:paraId="6C23EAE9">
      <w:pPr>
        <w:spacing w:line="400" w:lineRule="exact"/>
        <w:ind w:firstLine="420" w:firstLineChars="200"/>
        <w:rPr>
          <w:rFonts w:ascii="新宋体" w:hAnsi="新宋体" w:eastAsia="新宋体" w:cs="新宋体"/>
          <w:color w:val="auto"/>
          <w:szCs w:val="21"/>
          <w:highlight w:val="none"/>
        </w:rPr>
      </w:pPr>
      <w:r>
        <w:rPr>
          <w:rFonts w:hint="eastAsia" w:ascii="新宋体" w:hAnsi="新宋体" w:eastAsia="新宋体" w:cs="新宋体"/>
          <w:color w:val="auto"/>
          <w:szCs w:val="21"/>
          <w:highlight w:val="none"/>
        </w:rPr>
        <w:t>1.成交通知书</w:t>
      </w:r>
    </w:p>
    <w:p w14:paraId="71588F12">
      <w:pPr>
        <w:spacing w:line="400" w:lineRule="exact"/>
        <w:ind w:firstLine="420" w:firstLineChars="200"/>
        <w:rPr>
          <w:rFonts w:hint="default" w:ascii="新宋体" w:hAnsi="新宋体" w:eastAsia="新宋体" w:cs="新宋体"/>
          <w:color w:val="auto"/>
          <w:szCs w:val="21"/>
          <w:highlight w:val="none"/>
          <w:lang w:val="en-US" w:eastAsia="zh-CN"/>
        </w:rPr>
      </w:pPr>
      <w:r>
        <w:rPr>
          <w:rFonts w:hint="eastAsia" w:ascii="新宋体" w:hAnsi="新宋体" w:eastAsia="新宋体" w:cs="新宋体"/>
          <w:color w:val="auto"/>
          <w:szCs w:val="21"/>
          <w:highlight w:val="none"/>
          <w:lang w:val="en-US" w:eastAsia="zh-CN"/>
        </w:rPr>
        <w:t>2.成交供应商澄清内容（如有）</w:t>
      </w:r>
    </w:p>
    <w:p w14:paraId="3DA19146">
      <w:pPr>
        <w:spacing w:line="400" w:lineRule="exact"/>
        <w:ind w:firstLine="420" w:firstLineChars="200"/>
        <w:rPr>
          <w:rFonts w:hint="eastAsia" w:ascii="新宋体" w:hAnsi="新宋体" w:eastAsia="新宋体" w:cs="新宋体"/>
          <w:color w:val="auto"/>
          <w:szCs w:val="21"/>
          <w:highlight w:val="none"/>
          <w:lang w:val="en-US" w:eastAsia="zh-CN"/>
        </w:rPr>
      </w:pPr>
      <w:r>
        <w:rPr>
          <w:rFonts w:hint="eastAsia" w:ascii="新宋体" w:hAnsi="新宋体" w:eastAsia="新宋体" w:cs="新宋体"/>
          <w:color w:val="auto"/>
          <w:szCs w:val="21"/>
          <w:highlight w:val="none"/>
          <w:lang w:val="en-US" w:eastAsia="zh-CN"/>
        </w:rPr>
        <w:t>3.响应文件</w:t>
      </w:r>
    </w:p>
    <w:p w14:paraId="5364E400">
      <w:pPr>
        <w:spacing w:line="400" w:lineRule="exact"/>
        <w:ind w:firstLine="420" w:firstLineChars="200"/>
        <w:rPr>
          <w:rFonts w:ascii="新宋体" w:hAnsi="新宋体" w:eastAsia="新宋体" w:cs="新宋体"/>
          <w:color w:val="auto"/>
          <w:szCs w:val="21"/>
          <w:highlight w:val="none"/>
        </w:rPr>
      </w:pPr>
      <w:r>
        <w:rPr>
          <w:rFonts w:hint="eastAsia" w:ascii="新宋体" w:hAnsi="新宋体" w:eastAsia="新宋体" w:cs="新宋体"/>
          <w:color w:val="auto"/>
          <w:szCs w:val="21"/>
          <w:highlight w:val="none"/>
          <w:lang w:val="en-US" w:eastAsia="zh-CN"/>
        </w:rPr>
        <w:t>4</w:t>
      </w:r>
      <w:r>
        <w:rPr>
          <w:rFonts w:hint="eastAsia" w:ascii="新宋体" w:hAnsi="新宋体" w:eastAsia="新宋体" w:cs="新宋体"/>
          <w:color w:val="auto"/>
          <w:szCs w:val="21"/>
          <w:highlight w:val="none"/>
        </w:rPr>
        <w:t>.采购文件及澄清或更正内容（如有）</w:t>
      </w:r>
    </w:p>
    <w:p w14:paraId="49BA765F">
      <w:pPr>
        <w:spacing w:line="400" w:lineRule="exact"/>
        <w:ind w:firstLine="420" w:firstLineChars="200"/>
        <w:rPr>
          <w:rFonts w:ascii="新宋体" w:hAnsi="新宋体" w:eastAsia="新宋体" w:cs="新宋体"/>
          <w:color w:val="auto"/>
          <w:szCs w:val="21"/>
          <w:highlight w:val="none"/>
        </w:rPr>
      </w:pPr>
      <w:r>
        <w:rPr>
          <w:rFonts w:hint="eastAsia" w:ascii="新宋体" w:hAnsi="新宋体" w:eastAsia="新宋体" w:cs="新宋体"/>
          <w:color w:val="auto"/>
          <w:szCs w:val="21"/>
          <w:highlight w:val="none"/>
        </w:rPr>
        <w:t>5.其他材料</w:t>
      </w:r>
    </w:p>
    <w:p w14:paraId="044B78C9">
      <w:pPr>
        <w:spacing w:line="400" w:lineRule="exact"/>
        <w:ind w:firstLine="420" w:firstLineChars="200"/>
        <w:rPr>
          <w:rFonts w:ascii="新宋体" w:hAnsi="新宋体" w:eastAsia="新宋体" w:cs="新宋体"/>
          <w:color w:val="auto"/>
          <w:szCs w:val="21"/>
          <w:highlight w:val="none"/>
        </w:rPr>
      </w:pPr>
      <w:r>
        <w:rPr>
          <w:rFonts w:hint="eastAsia" w:ascii="新宋体" w:hAnsi="新宋体" w:eastAsia="新宋体" w:cs="新宋体"/>
          <w:color w:val="auto"/>
          <w:szCs w:val="21"/>
          <w:highlight w:val="none"/>
        </w:rPr>
        <w:t>6.上述合同文件互相补充和解释。如果合同文件之间存在矛盾或者不一致之处，以上述文件的排列顺序在先者为准。</w:t>
      </w:r>
    </w:p>
    <w:p w14:paraId="057616E0">
      <w:pPr>
        <w:spacing w:line="360" w:lineRule="auto"/>
        <w:ind w:firstLine="422" w:firstLineChars="200"/>
        <w:rPr>
          <w:rFonts w:ascii="宋体" w:hAnsi="宋体" w:cs="宋体"/>
          <w:color w:val="auto"/>
          <w:szCs w:val="21"/>
          <w:highlight w:val="none"/>
        </w:rPr>
      </w:pPr>
      <w:r>
        <w:rPr>
          <w:rFonts w:hint="eastAsia" w:ascii="宋体" w:hAnsi="宋体" w:cs="宋体"/>
          <w:b/>
          <w:color w:val="auto"/>
          <w:szCs w:val="21"/>
          <w:highlight w:val="none"/>
        </w:rPr>
        <w:t>第十五条　</w:t>
      </w:r>
      <w:r>
        <w:rPr>
          <w:rFonts w:hint="eastAsia" w:ascii="宋体" w:hAnsi="宋体"/>
          <w:color w:val="auto"/>
          <w:szCs w:val="21"/>
          <w:highlight w:val="none"/>
        </w:rPr>
        <w:t>本合同一式五份，具有同等法律效力，甲方三份，采购代理机构一份，乙方一份（可根据需要另增加）。</w:t>
      </w:r>
    </w:p>
    <w:tbl>
      <w:tblPr>
        <w:tblStyle w:val="31"/>
        <w:tblpPr w:leftFromText="180" w:rightFromText="180" w:vertAnchor="text" w:horzAnchor="margin" w:tblpXSpec="center" w:tblpY="214"/>
        <w:tblW w:w="92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09"/>
        <w:gridCol w:w="4610"/>
      </w:tblGrid>
      <w:tr w14:paraId="6A858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21" w:hRule="atLeast"/>
        </w:trPr>
        <w:tc>
          <w:tcPr>
            <w:tcW w:w="4609" w:type="dxa"/>
            <w:tcBorders>
              <w:top w:val="single" w:color="auto" w:sz="4" w:space="0"/>
              <w:left w:val="single" w:color="auto" w:sz="4" w:space="0"/>
              <w:bottom w:val="single" w:color="auto" w:sz="4" w:space="0"/>
              <w:right w:val="single" w:color="auto" w:sz="4" w:space="0"/>
            </w:tcBorders>
            <w:vAlign w:val="center"/>
          </w:tcPr>
          <w:p w14:paraId="1F8D34A9">
            <w:pPr>
              <w:snapToGrid w:val="0"/>
              <w:spacing w:line="360" w:lineRule="auto"/>
              <w:rPr>
                <w:rFonts w:ascii="宋体" w:hAnsi="宋体" w:cs="宋体"/>
                <w:color w:val="auto"/>
                <w:szCs w:val="21"/>
                <w:highlight w:val="none"/>
              </w:rPr>
            </w:pPr>
            <w:r>
              <w:rPr>
                <w:rFonts w:hint="eastAsia" w:ascii="宋体" w:hAnsi="宋体" w:cs="宋体"/>
                <w:color w:val="auto"/>
                <w:szCs w:val="21"/>
                <w:highlight w:val="none"/>
              </w:rPr>
              <w:t>甲方：（章）</w:t>
            </w:r>
          </w:p>
          <w:p w14:paraId="2E70BF81">
            <w:pPr>
              <w:snapToGrid w:val="0"/>
              <w:spacing w:line="360" w:lineRule="auto"/>
              <w:rPr>
                <w:rFonts w:ascii="宋体" w:hAnsi="宋体" w:cs="宋体"/>
                <w:color w:val="auto"/>
                <w:szCs w:val="21"/>
                <w:highlight w:val="none"/>
              </w:rPr>
            </w:pPr>
          </w:p>
          <w:p w14:paraId="41A4BCC9">
            <w:pPr>
              <w:snapToGrid w:val="0"/>
              <w:spacing w:line="360" w:lineRule="auto"/>
              <w:ind w:firstLine="945" w:firstLineChars="450"/>
              <w:jc w:val="right"/>
              <w:rPr>
                <w:rFonts w:ascii="宋体" w:hAnsi="宋体" w:cs="宋体"/>
                <w:color w:val="auto"/>
                <w:szCs w:val="21"/>
                <w:highlight w:val="none"/>
              </w:rPr>
            </w:pPr>
          </w:p>
          <w:p w14:paraId="0DF1B6B3">
            <w:pPr>
              <w:snapToGrid w:val="0"/>
              <w:spacing w:line="360" w:lineRule="auto"/>
              <w:ind w:firstLine="945" w:firstLineChars="450"/>
              <w:jc w:val="right"/>
              <w:rPr>
                <w:rFonts w:ascii="宋体" w:hAnsi="宋体" w:cs="宋体"/>
                <w:color w:val="auto"/>
                <w:szCs w:val="21"/>
                <w:highlight w:val="none"/>
              </w:rPr>
            </w:pPr>
            <w:r>
              <w:rPr>
                <w:rFonts w:hint="eastAsia" w:ascii="宋体" w:hAnsi="宋体" w:cs="宋体"/>
                <w:color w:val="auto"/>
                <w:szCs w:val="21"/>
                <w:highlight w:val="none"/>
              </w:rPr>
              <w:t>年   月   日</w:t>
            </w:r>
          </w:p>
        </w:tc>
        <w:tc>
          <w:tcPr>
            <w:tcW w:w="4610" w:type="dxa"/>
            <w:tcBorders>
              <w:top w:val="single" w:color="auto" w:sz="4" w:space="0"/>
              <w:left w:val="single" w:color="auto" w:sz="4" w:space="0"/>
              <w:bottom w:val="single" w:color="auto" w:sz="4" w:space="0"/>
              <w:right w:val="single" w:color="auto" w:sz="4" w:space="0"/>
            </w:tcBorders>
            <w:vAlign w:val="center"/>
          </w:tcPr>
          <w:p w14:paraId="7B6CE248">
            <w:pPr>
              <w:snapToGrid w:val="0"/>
              <w:spacing w:line="360" w:lineRule="auto"/>
              <w:rPr>
                <w:rFonts w:ascii="宋体" w:hAnsi="宋体" w:cs="宋体"/>
                <w:color w:val="auto"/>
                <w:szCs w:val="21"/>
                <w:highlight w:val="none"/>
              </w:rPr>
            </w:pPr>
            <w:r>
              <w:rPr>
                <w:rFonts w:hint="eastAsia" w:ascii="宋体" w:hAnsi="宋体" w:cs="宋体"/>
                <w:color w:val="auto"/>
                <w:szCs w:val="21"/>
                <w:highlight w:val="none"/>
              </w:rPr>
              <w:t xml:space="preserve">乙方：（章）       </w:t>
            </w:r>
          </w:p>
          <w:p w14:paraId="139EEE40">
            <w:pPr>
              <w:snapToGrid w:val="0"/>
              <w:spacing w:line="360" w:lineRule="auto"/>
              <w:rPr>
                <w:rFonts w:ascii="宋体" w:hAnsi="宋体" w:cs="宋体"/>
                <w:color w:val="auto"/>
                <w:szCs w:val="21"/>
                <w:highlight w:val="none"/>
              </w:rPr>
            </w:pPr>
            <w:r>
              <w:rPr>
                <w:rFonts w:hint="eastAsia" w:ascii="宋体" w:hAnsi="宋体" w:cs="宋体"/>
                <w:color w:val="auto"/>
                <w:szCs w:val="21"/>
                <w:highlight w:val="none"/>
              </w:rPr>
              <w:t xml:space="preserve">       </w:t>
            </w:r>
          </w:p>
          <w:p w14:paraId="57D19F2F">
            <w:pPr>
              <w:snapToGrid w:val="0"/>
              <w:spacing w:line="360" w:lineRule="auto"/>
              <w:jc w:val="right"/>
              <w:rPr>
                <w:rFonts w:ascii="宋体" w:hAnsi="宋体" w:cs="宋体"/>
                <w:color w:val="auto"/>
                <w:szCs w:val="21"/>
                <w:highlight w:val="none"/>
              </w:rPr>
            </w:pPr>
          </w:p>
          <w:p w14:paraId="0FA59D91">
            <w:pPr>
              <w:snapToGrid w:val="0"/>
              <w:spacing w:line="360" w:lineRule="auto"/>
              <w:jc w:val="right"/>
              <w:rPr>
                <w:rFonts w:ascii="宋体" w:hAnsi="宋体" w:cs="宋体"/>
                <w:color w:val="auto"/>
                <w:szCs w:val="21"/>
                <w:highlight w:val="none"/>
              </w:rPr>
            </w:pPr>
            <w:r>
              <w:rPr>
                <w:rFonts w:hint="eastAsia" w:ascii="宋体" w:hAnsi="宋体" w:cs="宋体"/>
                <w:color w:val="auto"/>
                <w:szCs w:val="21"/>
                <w:highlight w:val="none"/>
              </w:rPr>
              <w:t xml:space="preserve"> 年   月   日</w:t>
            </w:r>
          </w:p>
        </w:tc>
      </w:tr>
      <w:tr w14:paraId="38746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28" w:hRule="atLeast"/>
        </w:trPr>
        <w:tc>
          <w:tcPr>
            <w:tcW w:w="4609" w:type="dxa"/>
            <w:tcBorders>
              <w:top w:val="single" w:color="auto" w:sz="4" w:space="0"/>
              <w:left w:val="single" w:color="auto" w:sz="4" w:space="0"/>
              <w:bottom w:val="single" w:color="auto" w:sz="4" w:space="0"/>
              <w:right w:val="single" w:color="auto" w:sz="4" w:space="0"/>
            </w:tcBorders>
            <w:vAlign w:val="center"/>
          </w:tcPr>
          <w:p w14:paraId="4AAF19B3">
            <w:pPr>
              <w:snapToGrid w:val="0"/>
              <w:spacing w:line="360" w:lineRule="auto"/>
              <w:rPr>
                <w:rFonts w:ascii="宋体" w:hAnsi="宋体" w:cs="宋体"/>
                <w:color w:val="auto"/>
                <w:szCs w:val="21"/>
                <w:highlight w:val="none"/>
              </w:rPr>
            </w:pPr>
            <w:r>
              <w:rPr>
                <w:rFonts w:hint="eastAsia" w:ascii="宋体" w:hAnsi="宋体" w:cs="宋体"/>
                <w:color w:val="auto"/>
                <w:szCs w:val="21"/>
                <w:highlight w:val="none"/>
              </w:rPr>
              <w:t>单位地址：</w:t>
            </w:r>
            <w:r>
              <w:rPr>
                <w:rFonts w:ascii="宋体" w:hAnsi="宋体" w:cs="宋体"/>
                <w:color w:val="auto"/>
                <w:szCs w:val="21"/>
                <w:highlight w:val="none"/>
              </w:rPr>
              <w:t xml:space="preserve"> </w:t>
            </w:r>
          </w:p>
        </w:tc>
        <w:tc>
          <w:tcPr>
            <w:tcW w:w="4610" w:type="dxa"/>
            <w:tcBorders>
              <w:top w:val="single" w:color="auto" w:sz="4" w:space="0"/>
              <w:left w:val="single" w:color="auto" w:sz="4" w:space="0"/>
              <w:bottom w:val="single" w:color="auto" w:sz="4" w:space="0"/>
              <w:right w:val="single" w:color="auto" w:sz="4" w:space="0"/>
            </w:tcBorders>
            <w:vAlign w:val="center"/>
          </w:tcPr>
          <w:p w14:paraId="7C4D154F">
            <w:pPr>
              <w:snapToGrid w:val="0"/>
              <w:spacing w:line="360" w:lineRule="auto"/>
              <w:rPr>
                <w:rFonts w:ascii="宋体" w:hAnsi="宋体" w:cs="宋体"/>
                <w:color w:val="auto"/>
                <w:szCs w:val="21"/>
                <w:highlight w:val="none"/>
              </w:rPr>
            </w:pPr>
            <w:r>
              <w:rPr>
                <w:rFonts w:hint="eastAsia" w:ascii="宋体" w:hAnsi="宋体" w:cs="宋体"/>
                <w:color w:val="auto"/>
                <w:szCs w:val="21"/>
                <w:highlight w:val="none"/>
              </w:rPr>
              <w:t xml:space="preserve">单位地址： </w:t>
            </w:r>
          </w:p>
        </w:tc>
      </w:tr>
      <w:tr w14:paraId="595E9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69" w:hRule="atLeast"/>
        </w:trPr>
        <w:tc>
          <w:tcPr>
            <w:tcW w:w="4609" w:type="dxa"/>
            <w:tcBorders>
              <w:top w:val="single" w:color="auto" w:sz="4" w:space="0"/>
              <w:left w:val="single" w:color="auto" w:sz="4" w:space="0"/>
              <w:bottom w:val="single" w:color="auto" w:sz="4" w:space="0"/>
              <w:right w:val="single" w:color="auto" w:sz="4" w:space="0"/>
            </w:tcBorders>
            <w:vAlign w:val="center"/>
          </w:tcPr>
          <w:p w14:paraId="312C4F80">
            <w:pPr>
              <w:snapToGrid w:val="0"/>
              <w:spacing w:line="360" w:lineRule="auto"/>
              <w:rPr>
                <w:rFonts w:ascii="宋体" w:hAnsi="宋体" w:cs="宋体"/>
                <w:color w:val="auto"/>
                <w:szCs w:val="21"/>
                <w:highlight w:val="none"/>
              </w:rPr>
            </w:pPr>
            <w:r>
              <w:rPr>
                <w:rFonts w:hint="eastAsia" w:ascii="宋体" w:hAnsi="宋体" w:cs="宋体"/>
                <w:color w:val="auto"/>
                <w:szCs w:val="21"/>
                <w:highlight w:val="none"/>
              </w:rPr>
              <w:t>法定代表人</w:t>
            </w:r>
          </w:p>
          <w:p w14:paraId="48EDCBDC">
            <w:pPr>
              <w:snapToGrid w:val="0"/>
              <w:spacing w:line="360" w:lineRule="auto"/>
              <w:rPr>
                <w:rFonts w:ascii="宋体" w:hAnsi="宋体" w:cs="宋体"/>
                <w:color w:val="auto"/>
                <w:szCs w:val="21"/>
                <w:highlight w:val="none"/>
              </w:rPr>
            </w:pPr>
            <w:r>
              <w:rPr>
                <w:rFonts w:hint="eastAsia" w:ascii="宋体" w:hAnsi="宋体" w:cs="宋体"/>
                <w:color w:val="auto"/>
                <w:szCs w:val="21"/>
                <w:highlight w:val="none"/>
              </w:rPr>
              <w:t>或委托代理人：</w:t>
            </w:r>
          </w:p>
        </w:tc>
        <w:tc>
          <w:tcPr>
            <w:tcW w:w="4610" w:type="dxa"/>
            <w:tcBorders>
              <w:top w:val="single" w:color="auto" w:sz="4" w:space="0"/>
              <w:left w:val="single" w:color="auto" w:sz="4" w:space="0"/>
              <w:bottom w:val="single" w:color="auto" w:sz="4" w:space="0"/>
              <w:right w:val="single" w:color="auto" w:sz="4" w:space="0"/>
            </w:tcBorders>
            <w:vAlign w:val="center"/>
          </w:tcPr>
          <w:p w14:paraId="2B08BB32">
            <w:pPr>
              <w:snapToGrid w:val="0"/>
              <w:spacing w:line="360" w:lineRule="auto"/>
              <w:rPr>
                <w:rFonts w:ascii="宋体" w:hAnsi="宋体" w:cs="宋体"/>
                <w:color w:val="auto"/>
                <w:szCs w:val="21"/>
                <w:highlight w:val="none"/>
              </w:rPr>
            </w:pPr>
            <w:r>
              <w:rPr>
                <w:rFonts w:hint="eastAsia" w:ascii="宋体" w:hAnsi="宋体" w:cs="宋体"/>
                <w:color w:val="auto"/>
                <w:szCs w:val="21"/>
                <w:highlight w:val="none"/>
              </w:rPr>
              <w:t>法定代表人</w:t>
            </w:r>
          </w:p>
          <w:p w14:paraId="1A5A0CB6">
            <w:pPr>
              <w:snapToGrid w:val="0"/>
              <w:spacing w:line="360" w:lineRule="auto"/>
              <w:rPr>
                <w:rFonts w:ascii="宋体" w:hAnsi="宋体" w:cs="宋体"/>
                <w:color w:val="auto"/>
                <w:szCs w:val="21"/>
                <w:highlight w:val="none"/>
              </w:rPr>
            </w:pPr>
            <w:r>
              <w:rPr>
                <w:rFonts w:hint="eastAsia" w:ascii="宋体" w:hAnsi="宋体" w:cs="宋体"/>
                <w:color w:val="auto"/>
                <w:szCs w:val="21"/>
                <w:highlight w:val="none"/>
              </w:rPr>
              <w:t>或委托代理人：</w:t>
            </w:r>
          </w:p>
        </w:tc>
      </w:tr>
      <w:tr w14:paraId="19A4E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4609" w:type="dxa"/>
            <w:tcBorders>
              <w:top w:val="single" w:color="auto" w:sz="4" w:space="0"/>
              <w:left w:val="single" w:color="auto" w:sz="4" w:space="0"/>
              <w:bottom w:val="single" w:color="auto" w:sz="4" w:space="0"/>
              <w:right w:val="single" w:color="auto" w:sz="4" w:space="0"/>
            </w:tcBorders>
            <w:vAlign w:val="center"/>
          </w:tcPr>
          <w:p w14:paraId="7AEB9FFE">
            <w:pPr>
              <w:snapToGrid w:val="0"/>
              <w:spacing w:line="360" w:lineRule="auto"/>
              <w:rPr>
                <w:rFonts w:ascii="宋体" w:hAnsi="宋体" w:cs="宋体"/>
                <w:color w:val="auto"/>
                <w:szCs w:val="21"/>
                <w:highlight w:val="none"/>
              </w:rPr>
            </w:pPr>
            <w:r>
              <w:rPr>
                <w:rFonts w:hint="eastAsia" w:ascii="宋体" w:hAnsi="宋体" w:cs="宋体"/>
                <w:color w:val="auto"/>
                <w:szCs w:val="21"/>
                <w:highlight w:val="none"/>
              </w:rPr>
              <w:t>电话：</w:t>
            </w:r>
          </w:p>
        </w:tc>
        <w:tc>
          <w:tcPr>
            <w:tcW w:w="4610" w:type="dxa"/>
            <w:tcBorders>
              <w:top w:val="single" w:color="auto" w:sz="4" w:space="0"/>
              <w:left w:val="single" w:color="auto" w:sz="4" w:space="0"/>
              <w:bottom w:val="single" w:color="auto" w:sz="4" w:space="0"/>
              <w:right w:val="single" w:color="auto" w:sz="4" w:space="0"/>
            </w:tcBorders>
            <w:vAlign w:val="center"/>
          </w:tcPr>
          <w:p w14:paraId="337A2813">
            <w:pPr>
              <w:snapToGrid w:val="0"/>
              <w:spacing w:line="360" w:lineRule="auto"/>
              <w:rPr>
                <w:rFonts w:ascii="宋体" w:hAnsi="宋体" w:cs="宋体"/>
                <w:color w:val="auto"/>
                <w:szCs w:val="21"/>
                <w:highlight w:val="none"/>
              </w:rPr>
            </w:pPr>
            <w:r>
              <w:rPr>
                <w:rFonts w:hint="eastAsia" w:ascii="宋体" w:hAnsi="宋体" w:cs="宋体"/>
                <w:color w:val="auto"/>
                <w:szCs w:val="21"/>
                <w:highlight w:val="none"/>
              </w:rPr>
              <w:t>电话：</w:t>
            </w:r>
          </w:p>
        </w:tc>
      </w:tr>
      <w:tr w14:paraId="4C6B3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4" w:hRule="atLeast"/>
        </w:trPr>
        <w:tc>
          <w:tcPr>
            <w:tcW w:w="4609" w:type="dxa"/>
            <w:tcBorders>
              <w:top w:val="single" w:color="auto" w:sz="4" w:space="0"/>
              <w:left w:val="single" w:color="auto" w:sz="4" w:space="0"/>
              <w:bottom w:val="single" w:color="auto" w:sz="4" w:space="0"/>
              <w:right w:val="single" w:color="auto" w:sz="4" w:space="0"/>
            </w:tcBorders>
            <w:vAlign w:val="center"/>
          </w:tcPr>
          <w:p w14:paraId="0B705950">
            <w:pPr>
              <w:snapToGrid w:val="0"/>
              <w:spacing w:line="360" w:lineRule="auto"/>
              <w:rPr>
                <w:rFonts w:ascii="宋体" w:hAnsi="宋体" w:cs="宋体"/>
                <w:color w:val="auto"/>
                <w:szCs w:val="21"/>
                <w:highlight w:val="none"/>
              </w:rPr>
            </w:pPr>
            <w:r>
              <w:rPr>
                <w:rFonts w:hint="eastAsia" w:ascii="宋体" w:hAnsi="宋体" w:cs="宋体"/>
                <w:color w:val="auto"/>
                <w:szCs w:val="21"/>
                <w:highlight w:val="none"/>
              </w:rPr>
              <w:t xml:space="preserve">开户银行： </w:t>
            </w:r>
          </w:p>
        </w:tc>
        <w:tc>
          <w:tcPr>
            <w:tcW w:w="4610" w:type="dxa"/>
            <w:tcBorders>
              <w:top w:val="single" w:color="auto" w:sz="4" w:space="0"/>
              <w:left w:val="single" w:color="auto" w:sz="4" w:space="0"/>
              <w:bottom w:val="single" w:color="auto" w:sz="4" w:space="0"/>
              <w:right w:val="single" w:color="auto" w:sz="4" w:space="0"/>
            </w:tcBorders>
            <w:vAlign w:val="center"/>
          </w:tcPr>
          <w:p w14:paraId="6CA72E18">
            <w:pPr>
              <w:snapToGrid w:val="0"/>
              <w:spacing w:line="360" w:lineRule="auto"/>
              <w:rPr>
                <w:rFonts w:ascii="宋体" w:hAnsi="宋体" w:cs="宋体"/>
                <w:color w:val="auto"/>
                <w:szCs w:val="21"/>
                <w:highlight w:val="none"/>
              </w:rPr>
            </w:pPr>
            <w:r>
              <w:rPr>
                <w:rFonts w:hint="eastAsia" w:ascii="宋体" w:hAnsi="宋体" w:cs="宋体"/>
                <w:color w:val="auto"/>
                <w:szCs w:val="21"/>
                <w:highlight w:val="none"/>
              </w:rPr>
              <w:t xml:space="preserve">开户银行： </w:t>
            </w:r>
          </w:p>
        </w:tc>
      </w:tr>
      <w:tr w14:paraId="530F5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4609" w:type="dxa"/>
            <w:tcBorders>
              <w:top w:val="single" w:color="auto" w:sz="4" w:space="0"/>
              <w:left w:val="single" w:color="auto" w:sz="4" w:space="0"/>
              <w:bottom w:val="single" w:color="auto" w:sz="4" w:space="0"/>
              <w:right w:val="single" w:color="auto" w:sz="4" w:space="0"/>
            </w:tcBorders>
            <w:vAlign w:val="center"/>
          </w:tcPr>
          <w:p w14:paraId="15475C95">
            <w:pPr>
              <w:snapToGrid w:val="0"/>
              <w:spacing w:line="360" w:lineRule="auto"/>
              <w:rPr>
                <w:rFonts w:ascii="宋体" w:hAnsi="宋体" w:cs="宋体"/>
                <w:color w:val="auto"/>
                <w:szCs w:val="21"/>
                <w:highlight w:val="none"/>
              </w:rPr>
            </w:pPr>
            <w:r>
              <w:rPr>
                <w:rFonts w:hint="eastAsia" w:ascii="宋体" w:hAnsi="宋体" w:cs="宋体"/>
                <w:color w:val="auto"/>
                <w:szCs w:val="21"/>
                <w:highlight w:val="none"/>
              </w:rPr>
              <w:t>账号：</w:t>
            </w:r>
          </w:p>
        </w:tc>
        <w:tc>
          <w:tcPr>
            <w:tcW w:w="4610" w:type="dxa"/>
            <w:tcBorders>
              <w:top w:val="single" w:color="auto" w:sz="4" w:space="0"/>
              <w:left w:val="single" w:color="auto" w:sz="4" w:space="0"/>
              <w:bottom w:val="single" w:color="auto" w:sz="4" w:space="0"/>
              <w:right w:val="single" w:color="auto" w:sz="4" w:space="0"/>
            </w:tcBorders>
            <w:vAlign w:val="center"/>
          </w:tcPr>
          <w:p w14:paraId="1757F849">
            <w:pPr>
              <w:snapToGrid w:val="0"/>
              <w:spacing w:line="360" w:lineRule="auto"/>
              <w:rPr>
                <w:rFonts w:ascii="宋体" w:hAnsi="宋体" w:cs="宋体"/>
                <w:color w:val="auto"/>
                <w:szCs w:val="21"/>
                <w:highlight w:val="none"/>
              </w:rPr>
            </w:pPr>
            <w:r>
              <w:rPr>
                <w:rFonts w:hint="eastAsia" w:ascii="宋体" w:hAnsi="宋体" w:cs="宋体"/>
                <w:color w:val="auto"/>
                <w:szCs w:val="21"/>
                <w:highlight w:val="none"/>
              </w:rPr>
              <w:t>账号：</w:t>
            </w:r>
          </w:p>
        </w:tc>
      </w:tr>
      <w:tr w14:paraId="664EB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1" w:hRule="atLeast"/>
        </w:trPr>
        <w:tc>
          <w:tcPr>
            <w:tcW w:w="4609" w:type="dxa"/>
            <w:tcBorders>
              <w:top w:val="single" w:color="auto" w:sz="4" w:space="0"/>
              <w:left w:val="single" w:color="auto" w:sz="4" w:space="0"/>
              <w:bottom w:val="single" w:color="auto" w:sz="4" w:space="0"/>
              <w:right w:val="single" w:color="auto" w:sz="4" w:space="0"/>
            </w:tcBorders>
            <w:vAlign w:val="center"/>
          </w:tcPr>
          <w:p w14:paraId="7BA44AF3">
            <w:pPr>
              <w:snapToGrid w:val="0"/>
              <w:spacing w:line="360" w:lineRule="auto"/>
              <w:rPr>
                <w:rFonts w:ascii="宋体" w:hAnsi="宋体" w:cs="宋体"/>
                <w:color w:val="auto"/>
                <w:szCs w:val="21"/>
                <w:highlight w:val="none"/>
              </w:rPr>
            </w:pPr>
            <w:r>
              <w:rPr>
                <w:rFonts w:hint="eastAsia" w:ascii="宋体" w:hAnsi="宋体" w:cs="宋体"/>
                <w:color w:val="auto"/>
                <w:szCs w:val="21"/>
                <w:highlight w:val="none"/>
              </w:rPr>
              <w:t>邮政编码：</w:t>
            </w:r>
          </w:p>
        </w:tc>
        <w:tc>
          <w:tcPr>
            <w:tcW w:w="4610" w:type="dxa"/>
            <w:tcBorders>
              <w:top w:val="single" w:color="auto" w:sz="4" w:space="0"/>
              <w:left w:val="single" w:color="auto" w:sz="4" w:space="0"/>
              <w:bottom w:val="single" w:color="auto" w:sz="4" w:space="0"/>
              <w:right w:val="single" w:color="auto" w:sz="4" w:space="0"/>
            </w:tcBorders>
            <w:vAlign w:val="center"/>
          </w:tcPr>
          <w:p w14:paraId="4DB2F6FF">
            <w:pPr>
              <w:snapToGrid w:val="0"/>
              <w:spacing w:line="360" w:lineRule="auto"/>
              <w:rPr>
                <w:rFonts w:ascii="宋体" w:hAnsi="宋体" w:cs="宋体"/>
                <w:color w:val="auto"/>
                <w:szCs w:val="21"/>
                <w:highlight w:val="none"/>
              </w:rPr>
            </w:pPr>
            <w:r>
              <w:rPr>
                <w:rFonts w:hint="eastAsia" w:ascii="宋体" w:hAnsi="宋体" w:cs="宋体"/>
                <w:color w:val="auto"/>
                <w:szCs w:val="21"/>
                <w:highlight w:val="none"/>
              </w:rPr>
              <w:t>邮政编码：</w:t>
            </w:r>
          </w:p>
        </w:tc>
      </w:tr>
    </w:tbl>
    <w:p w14:paraId="0EC2A793">
      <w:pPr>
        <w:snapToGrid w:val="0"/>
        <w:spacing w:line="360" w:lineRule="auto"/>
        <w:rPr>
          <w:rFonts w:ascii="宋体" w:hAnsi="宋体" w:cs="Courier New"/>
          <w:b/>
          <w:color w:val="auto"/>
          <w:szCs w:val="21"/>
          <w:highlight w:val="none"/>
        </w:rPr>
      </w:pPr>
    </w:p>
    <w:p w14:paraId="55A231B4">
      <w:pPr>
        <w:snapToGrid w:val="0"/>
        <w:jc w:val="center"/>
        <w:rPr>
          <w:rFonts w:ascii="宋体" w:hAnsi="宋体" w:cs="宋体"/>
          <w:b/>
          <w:color w:val="auto"/>
          <w:sz w:val="44"/>
          <w:szCs w:val="44"/>
          <w:highlight w:val="none"/>
        </w:rPr>
      </w:pPr>
    </w:p>
    <w:p w14:paraId="0F0C4700">
      <w:pPr>
        <w:rPr>
          <w:rFonts w:ascii="宋体" w:hAnsi="宋体" w:cs="宋体"/>
          <w:b/>
          <w:color w:val="auto"/>
          <w:sz w:val="44"/>
          <w:szCs w:val="44"/>
          <w:highlight w:val="none"/>
        </w:rPr>
      </w:pPr>
      <w:r>
        <w:rPr>
          <w:rFonts w:hint="eastAsia" w:ascii="宋体" w:hAnsi="宋体" w:cs="宋体"/>
          <w:b/>
          <w:color w:val="auto"/>
          <w:sz w:val="44"/>
          <w:szCs w:val="44"/>
          <w:highlight w:val="none"/>
        </w:rPr>
        <w:br w:type="page"/>
      </w:r>
    </w:p>
    <w:p w14:paraId="02FFF5D5">
      <w:pPr>
        <w:snapToGrid w:val="0"/>
        <w:jc w:val="center"/>
        <w:rPr>
          <w:rFonts w:ascii="宋体" w:hAnsi="宋体" w:cs="宋体"/>
          <w:b/>
          <w:color w:val="auto"/>
          <w:sz w:val="44"/>
          <w:szCs w:val="44"/>
          <w:highlight w:val="none"/>
        </w:rPr>
      </w:pPr>
      <w:r>
        <w:rPr>
          <w:rFonts w:hint="eastAsia" w:ascii="宋体" w:hAnsi="宋体" w:cs="宋体"/>
          <w:b/>
          <w:color w:val="auto"/>
          <w:sz w:val="44"/>
          <w:szCs w:val="44"/>
          <w:highlight w:val="none"/>
        </w:rPr>
        <w:t>保密协议</w:t>
      </w:r>
    </w:p>
    <w:p w14:paraId="2DFE4E5D">
      <w:pPr>
        <w:pStyle w:val="41"/>
        <w:rPr>
          <w:rFonts w:hint="default" w:ascii="宋体" w:hAnsi="宋体" w:eastAsia="宋体" w:cs="宋体"/>
          <w:color w:val="auto"/>
          <w:highlight w:val="none"/>
        </w:rPr>
      </w:pPr>
    </w:p>
    <w:p w14:paraId="79B2703C">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根据国家有关法律法规规定，甲方有责任和权利要求乙方严格遵守国家保密法律、法规和相关规定，保守国家秘密和警务工作秘密。乙方应加强保密意识并严格遵守以下协议：</w:t>
      </w:r>
    </w:p>
    <w:p w14:paraId="35986148">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一、严格遵守公安机关保密管理工作相关法律法规，保守在工作中所涉及的秘密，保密有效时间与国家对各具体秘密事项的保密期限要求相一致。</w:t>
      </w:r>
    </w:p>
    <w:p w14:paraId="5B711A8F">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二、不得擅自记录、复制、拍摄、摘抄、收藏在工作中涉及的秘密和敏感信息；严禁将公安机关内部会议、谈话内容泄露给无关人员；严禁将工作中涉及的相关产品技术方案及实施规划透露给无关人员。</w:t>
      </w:r>
    </w:p>
    <w:p w14:paraId="5629C45B">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三、服从甲方的安排，依照有关法律、法规和合同规定工作，不得将工作过程中接触到的内容泄露给无关人员；不得翻阅与工作无关的文件和资料，不得从事其它与合同无关的工作。</w:t>
      </w:r>
    </w:p>
    <w:p w14:paraId="6EA876DD">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四、乙方必须严格控制项目知悉范围和人数，要求所有参与人员签订保密承诺，保密承诺内容应听取甲方意见，并向甲方提供承诺等相关资料。</w:t>
      </w:r>
    </w:p>
    <w:p w14:paraId="04B34A2D">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五、未经甲方同意，乙方不得使用项目案例进行演示或宣传。</w:t>
      </w:r>
    </w:p>
    <w:p w14:paraId="7DB61784">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六、无论乙方今后完成项目或因故中途退出，均不得泄露所知悉的国家秘密和警务工作秘密。</w:t>
      </w:r>
    </w:p>
    <w:p w14:paraId="3003DDA8">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七、如发生国家秘密和警务工作秘密泄露，乙方应立即向甲方报告，并积极协助甲方及有关保密部门进行查处。</w:t>
      </w:r>
    </w:p>
    <w:p w14:paraId="7D569A20">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八、本协议视同采购合同的组成部分，对协议的任何修改，必须采取书面形式，并有双方法定代表人（或委托授权人）签字。</w:t>
      </w:r>
    </w:p>
    <w:p w14:paraId="734DBFAE">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九、乙方如未能遵守上述协议，有违反保密规定行为而造成泄密的，甲方可依据有关规定追究乙方的责任；构成犯罪的，将依法追究刑事责任。</w:t>
      </w:r>
    </w:p>
    <w:p w14:paraId="2E98BA51">
      <w:pPr>
        <w:rPr>
          <w:rFonts w:ascii="宋体" w:hAnsi="宋体" w:cs="宋体"/>
          <w:b/>
          <w:bCs/>
          <w:color w:val="auto"/>
          <w:szCs w:val="21"/>
          <w:highlight w:val="none"/>
        </w:rPr>
      </w:pPr>
    </w:p>
    <w:p w14:paraId="19326457">
      <w:pPr>
        <w:spacing w:line="560" w:lineRule="exact"/>
        <w:ind w:firstLine="211" w:firstLineChars="100"/>
        <w:rPr>
          <w:rFonts w:ascii="宋体" w:hAnsi="宋体" w:cs="宋体"/>
          <w:b/>
          <w:bCs/>
          <w:color w:val="auto"/>
          <w:szCs w:val="21"/>
          <w:highlight w:val="none"/>
        </w:rPr>
      </w:pPr>
      <w:r>
        <w:rPr>
          <w:rFonts w:hint="eastAsia" w:ascii="宋体" w:hAnsi="宋体" w:cs="宋体"/>
          <w:b/>
          <w:bCs/>
          <w:color w:val="auto"/>
          <w:szCs w:val="21"/>
          <w:highlight w:val="none"/>
        </w:rPr>
        <w:t>甲方（盖章）：                            乙方（盖章）：</w:t>
      </w:r>
    </w:p>
    <w:p w14:paraId="74F57689">
      <w:pPr>
        <w:tabs>
          <w:tab w:val="left" w:pos="947"/>
        </w:tabs>
        <w:spacing w:line="560" w:lineRule="exact"/>
        <w:ind w:firstLine="211" w:firstLineChars="100"/>
        <w:rPr>
          <w:rFonts w:ascii="宋体" w:hAnsi="宋体" w:cs="宋体"/>
          <w:b/>
          <w:bCs/>
          <w:color w:val="auto"/>
          <w:szCs w:val="21"/>
          <w:highlight w:val="none"/>
        </w:rPr>
      </w:pPr>
      <w:r>
        <w:rPr>
          <w:rFonts w:hint="eastAsia" w:ascii="宋体" w:hAnsi="宋体" w:cs="宋体"/>
          <w:b/>
          <w:bCs/>
          <w:color w:val="auto"/>
          <w:szCs w:val="21"/>
          <w:highlight w:val="none"/>
        </w:rPr>
        <w:t xml:space="preserve">代表签字：                                代表签字：               </w:t>
      </w:r>
    </w:p>
    <w:p w14:paraId="4DF73405">
      <w:pPr>
        <w:spacing w:line="560" w:lineRule="exact"/>
        <w:ind w:firstLine="211" w:firstLineChars="100"/>
        <w:rPr>
          <w:rFonts w:ascii="宋体" w:hAnsi="宋体" w:cs="宋体"/>
          <w:b/>
          <w:bCs/>
          <w:color w:val="auto"/>
          <w:szCs w:val="21"/>
          <w:highlight w:val="none"/>
        </w:rPr>
      </w:pPr>
    </w:p>
    <w:p w14:paraId="4E5B1936">
      <w:pPr>
        <w:snapToGrid w:val="0"/>
        <w:ind w:firstLine="211" w:firstLineChars="100"/>
        <w:rPr>
          <w:rFonts w:ascii="宋体" w:hAnsi="宋体" w:cs="宋体"/>
          <w:bCs/>
          <w:color w:val="auto"/>
          <w:szCs w:val="21"/>
          <w:highlight w:val="none"/>
        </w:rPr>
      </w:pPr>
      <w:r>
        <w:rPr>
          <w:rFonts w:hint="eastAsia" w:ascii="宋体" w:hAnsi="宋体" w:cs="宋体"/>
          <w:b/>
          <w:bCs/>
          <w:color w:val="auto"/>
          <w:szCs w:val="21"/>
          <w:highlight w:val="none"/>
        </w:rPr>
        <w:t>签订日期：</w:t>
      </w:r>
      <w:r>
        <w:rPr>
          <w:rFonts w:hint="eastAsia" w:ascii="宋体" w:hAnsi="宋体" w:cs="宋体"/>
          <w:b/>
          <w:color w:val="auto"/>
          <w:szCs w:val="21"/>
          <w:highlight w:val="none"/>
          <w:u w:val="single"/>
        </w:rPr>
        <w:t xml:space="preserve">    </w:t>
      </w:r>
      <w:r>
        <w:rPr>
          <w:rFonts w:hint="eastAsia" w:ascii="宋体" w:hAnsi="宋体" w:cs="宋体"/>
          <w:b/>
          <w:bCs/>
          <w:color w:val="auto"/>
          <w:szCs w:val="21"/>
          <w:highlight w:val="none"/>
        </w:rPr>
        <w:t>年</w:t>
      </w:r>
      <w:r>
        <w:rPr>
          <w:rFonts w:hint="eastAsia" w:ascii="宋体" w:hAnsi="宋体" w:cs="宋体"/>
          <w:b/>
          <w:color w:val="auto"/>
          <w:szCs w:val="21"/>
          <w:highlight w:val="none"/>
          <w:u w:val="single"/>
        </w:rPr>
        <w:t xml:space="preserve"> </w:t>
      </w:r>
      <w:r>
        <w:rPr>
          <w:rFonts w:hint="eastAsia" w:ascii="宋体" w:hAnsi="宋体" w:cs="宋体"/>
          <w:b/>
          <w:color w:val="auto"/>
          <w:szCs w:val="21"/>
          <w:highlight w:val="none"/>
          <w:u w:val="single"/>
          <w:lang w:val="en-US" w:eastAsia="zh-CN"/>
        </w:rPr>
        <w:t xml:space="preserve"> </w:t>
      </w:r>
      <w:r>
        <w:rPr>
          <w:rFonts w:hint="eastAsia" w:ascii="宋体" w:hAnsi="宋体" w:cs="宋体"/>
          <w:b/>
          <w:color w:val="auto"/>
          <w:szCs w:val="21"/>
          <w:highlight w:val="none"/>
          <w:u w:val="single"/>
        </w:rPr>
        <w:t xml:space="preserve"> </w:t>
      </w:r>
      <w:r>
        <w:rPr>
          <w:rFonts w:hint="eastAsia" w:ascii="宋体" w:hAnsi="宋体" w:cs="宋体"/>
          <w:b/>
          <w:bCs/>
          <w:color w:val="auto"/>
          <w:szCs w:val="21"/>
          <w:highlight w:val="none"/>
        </w:rPr>
        <w:t>月</w:t>
      </w:r>
      <w:r>
        <w:rPr>
          <w:rFonts w:hint="eastAsia" w:ascii="宋体" w:hAnsi="宋体" w:cs="宋体"/>
          <w:b/>
          <w:bCs/>
          <w:color w:val="auto"/>
          <w:szCs w:val="21"/>
          <w:highlight w:val="none"/>
          <w:lang w:val="en-US" w:eastAsia="zh-CN"/>
        </w:rPr>
        <w:t xml:space="preserve"> </w:t>
      </w:r>
      <w:r>
        <w:rPr>
          <w:rFonts w:hint="eastAsia" w:ascii="宋体" w:hAnsi="宋体" w:cs="宋体"/>
          <w:b/>
          <w:color w:val="auto"/>
          <w:szCs w:val="21"/>
          <w:highlight w:val="none"/>
          <w:u w:val="single"/>
        </w:rPr>
        <w:t xml:space="preserve">  </w:t>
      </w:r>
      <w:r>
        <w:rPr>
          <w:rFonts w:hint="eastAsia" w:ascii="宋体" w:hAnsi="宋体" w:cs="宋体"/>
          <w:b/>
          <w:color w:val="auto"/>
          <w:szCs w:val="21"/>
          <w:highlight w:val="none"/>
        </w:rPr>
        <w:t xml:space="preserve">日                  </w:t>
      </w:r>
      <w:r>
        <w:rPr>
          <w:rFonts w:hint="eastAsia" w:ascii="宋体" w:hAnsi="宋体" w:cs="宋体"/>
          <w:b/>
          <w:bCs/>
          <w:color w:val="auto"/>
          <w:szCs w:val="21"/>
          <w:highlight w:val="none"/>
        </w:rPr>
        <w:t>签订日期：</w:t>
      </w:r>
      <w:r>
        <w:rPr>
          <w:rFonts w:hint="eastAsia" w:ascii="宋体" w:hAnsi="宋体" w:cs="宋体"/>
          <w:b/>
          <w:color w:val="auto"/>
          <w:szCs w:val="21"/>
          <w:highlight w:val="none"/>
          <w:u w:val="single"/>
        </w:rPr>
        <w:t xml:space="preserve">    </w:t>
      </w:r>
      <w:r>
        <w:rPr>
          <w:rFonts w:hint="eastAsia" w:ascii="宋体" w:hAnsi="宋体" w:cs="宋体"/>
          <w:b/>
          <w:bCs/>
          <w:color w:val="auto"/>
          <w:szCs w:val="21"/>
          <w:highlight w:val="none"/>
        </w:rPr>
        <w:t>年</w:t>
      </w:r>
      <w:r>
        <w:rPr>
          <w:rFonts w:hint="eastAsia" w:ascii="宋体" w:hAnsi="宋体" w:cs="宋体"/>
          <w:b/>
          <w:color w:val="auto"/>
          <w:szCs w:val="21"/>
          <w:highlight w:val="none"/>
          <w:u w:val="single"/>
        </w:rPr>
        <w:t xml:space="preserve"> </w:t>
      </w:r>
      <w:r>
        <w:rPr>
          <w:rFonts w:hint="eastAsia" w:ascii="宋体" w:hAnsi="宋体" w:cs="宋体"/>
          <w:b/>
          <w:color w:val="auto"/>
          <w:szCs w:val="21"/>
          <w:highlight w:val="none"/>
          <w:u w:val="single"/>
          <w:lang w:val="en-US" w:eastAsia="zh-CN"/>
        </w:rPr>
        <w:t xml:space="preserve"> </w:t>
      </w:r>
      <w:r>
        <w:rPr>
          <w:rFonts w:hint="eastAsia" w:ascii="宋体" w:hAnsi="宋体" w:cs="宋体"/>
          <w:b/>
          <w:color w:val="auto"/>
          <w:szCs w:val="21"/>
          <w:highlight w:val="none"/>
          <w:u w:val="single"/>
        </w:rPr>
        <w:t xml:space="preserve"> </w:t>
      </w:r>
      <w:r>
        <w:rPr>
          <w:rFonts w:hint="eastAsia" w:ascii="宋体" w:hAnsi="宋体" w:cs="宋体"/>
          <w:b/>
          <w:bCs/>
          <w:color w:val="auto"/>
          <w:szCs w:val="21"/>
          <w:highlight w:val="none"/>
        </w:rPr>
        <w:t>月</w:t>
      </w:r>
      <w:r>
        <w:rPr>
          <w:rFonts w:hint="eastAsia" w:ascii="宋体" w:hAnsi="宋体" w:cs="宋体"/>
          <w:b/>
          <w:color w:val="auto"/>
          <w:szCs w:val="21"/>
          <w:highlight w:val="none"/>
          <w:u w:val="single"/>
        </w:rPr>
        <w:t xml:space="preserve"> </w:t>
      </w:r>
      <w:r>
        <w:rPr>
          <w:rFonts w:hint="eastAsia" w:ascii="宋体" w:hAnsi="宋体" w:cs="宋体"/>
          <w:b/>
          <w:color w:val="auto"/>
          <w:szCs w:val="21"/>
          <w:highlight w:val="none"/>
          <w:u w:val="single"/>
          <w:lang w:val="en-US" w:eastAsia="zh-CN"/>
        </w:rPr>
        <w:t xml:space="preserve"> </w:t>
      </w:r>
      <w:r>
        <w:rPr>
          <w:rFonts w:hint="eastAsia" w:ascii="宋体" w:hAnsi="宋体" w:cs="宋体"/>
          <w:b/>
          <w:color w:val="auto"/>
          <w:szCs w:val="21"/>
          <w:highlight w:val="none"/>
          <w:u w:val="single"/>
        </w:rPr>
        <w:t xml:space="preserve"> </w:t>
      </w:r>
      <w:r>
        <w:rPr>
          <w:rFonts w:hint="eastAsia" w:ascii="宋体" w:hAnsi="宋体" w:cs="宋体"/>
          <w:b/>
          <w:color w:val="auto"/>
          <w:szCs w:val="21"/>
          <w:highlight w:val="none"/>
        </w:rPr>
        <w:t>日</w:t>
      </w:r>
    </w:p>
    <w:p w14:paraId="6F60701E">
      <w:pPr>
        <w:spacing w:before="4"/>
        <w:rPr>
          <w:rFonts w:ascii="宋体" w:hAnsi="宋体" w:cs="宋体"/>
          <w:color w:val="auto"/>
          <w:sz w:val="6"/>
          <w:szCs w:val="6"/>
          <w:highlight w:val="none"/>
        </w:rPr>
      </w:pPr>
    </w:p>
    <w:p w14:paraId="59F93AFA">
      <w:pPr>
        <w:pStyle w:val="24"/>
        <w:rPr>
          <w:color w:val="auto"/>
          <w:highlight w:val="none"/>
        </w:rPr>
      </w:pPr>
    </w:p>
    <w:sectPr>
      <w:pgSz w:w="11906" w:h="16838"/>
      <w:pgMar w:top="1134" w:right="1134" w:bottom="1134" w:left="1134" w:header="851" w:footer="992"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81"/>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5D25607F-0163-43D0-9DA9-42762B333450}"/>
  </w:font>
  <w:font w:name="黑体">
    <w:panose1 w:val="02010609060101010101"/>
    <w:charset w:val="86"/>
    <w:family w:val="auto"/>
    <w:pitch w:val="default"/>
    <w:sig w:usb0="800002BF" w:usb1="38CF7CFA" w:usb2="00000016" w:usb3="00000000" w:csb0="00040001" w:csb1="00000000"/>
    <w:embedRegular r:id="rId2" w:fontKey="{44981686-3261-4A3B-9C08-DD2EEBAB6C40}"/>
  </w:font>
  <w:font w:name="Courier New">
    <w:panose1 w:val="02070309020205020404"/>
    <w:charset w:val="01"/>
    <w:family w:val="modern"/>
    <w:pitch w:val="default"/>
    <w:sig w:usb0="E0002AFF" w:usb1="C0007843" w:usb2="00000009" w:usb3="00000000" w:csb0="400001FF" w:csb1="FFFF0000"/>
    <w:embedRegular r:id="rId3" w:fontKey="{AAC425E3-3FED-447F-AA3C-6612297CF126}"/>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4" w:fontKey="{271345ED-8A83-456E-A7A8-F3E8C95AC433}"/>
  </w:font>
  <w:font w:name="Cambria">
    <w:panose1 w:val="02040503050406030204"/>
    <w:charset w:val="00"/>
    <w:family w:val="roman"/>
    <w:pitch w:val="default"/>
    <w:sig w:usb0="E00002FF" w:usb1="400004FF" w:usb2="00000000" w:usb3="00000000" w:csb0="2000019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embedRegular r:id="rId5" w:fontKey="{B720564F-FCCC-470E-95CC-D0F360557D5C}"/>
  </w:font>
  <w:font w:name="Tahoma">
    <w:panose1 w:val="020B0604030504040204"/>
    <w:charset w:val="00"/>
    <w:family w:val="swiss"/>
    <w:pitch w:val="default"/>
    <w:sig w:usb0="E1002EFF" w:usb1="C000605B" w:usb2="00000029" w:usb3="00000000" w:csb0="200101FF" w:csb1="20280000"/>
    <w:embedRegular r:id="rId6" w:fontKey="{C1D35C0E-9A34-49B4-9062-62B707D23F02}"/>
  </w:font>
  <w:font w:name="微软雅黑">
    <w:panose1 w:val="020B0503020204020204"/>
    <w:charset w:val="86"/>
    <w:family w:val="swiss"/>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embedRegular r:id="rId7" w:fontKey="{072BC07D-4C11-419E-A628-3DDD364977A7}"/>
  </w:font>
  <w:font w:name="方正小标宋简体">
    <w:panose1 w:val="02000000000000000000"/>
    <w:charset w:val="86"/>
    <w:family w:val="auto"/>
    <w:pitch w:val="default"/>
    <w:sig w:usb0="A00002BF" w:usb1="184F6CFA" w:usb2="00000012" w:usb3="00000000" w:csb0="00040001" w:csb1="00000000"/>
    <w:embedRegular r:id="rId8" w:fontKey="{97980436-629B-4492-8FCE-7F44AC47B4AF}"/>
  </w:font>
  <w:font w:name="Wingdings 2">
    <w:panose1 w:val="05020102010507070707"/>
    <w:charset w:val="02"/>
    <w:family w:val="roman"/>
    <w:pitch w:val="default"/>
    <w:sig w:usb0="00000000" w:usb1="00000000" w:usb2="00000000" w:usb3="00000000" w:csb0="80000000" w:csb1="00000000"/>
    <w:embedRegular r:id="rId9" w:fontKey="{0E43F3F7-B867-484B-A812-43ABD1DE32D4}"/>
  </w:font>
  <w:font w:name="汉仪书宋二S">
    <w:altName w:val="宋体"/>
    <w:panose1 w:val="00000000000000000000"/>
    <w:charset w:val="00"/>
    <w:family w:val="auto"/>
    <w:pitch w:val="default"/>
    <w:sig w:usb0="00000000" w:usb1="00000000" w:usb2="00000000" w:usb3="00000000" w:csb0="00000000" w:csb1="00000000"/>
    <w:embedRegular r:id="rId10" w:fontKey="{C49D756B-A226-4AE0-8CA6-8E07D7269ACB}"/>
  </w:font>
  <w:font w:name="隶书">
    <w:panose1 w:val="02010509060101010101"/>
    <w:charset w:val="86"/>
    <w:family w:val="modern"/>
    <w:pitch w:val="default"/>
    <w:sig w:usb0="00000001" w:usb1="080E0000" w:usb2="00000000" w:usb3="00000000" w:csb0="00040000" w:csb1="00000000"/>
    <w:embedRegular r:id="rId11" w:fontKey="{EAE82071-76C3-4669-A82C-5DD569E3C813}"/>
  </w:font>
  <w:font w:name="新宋体">
    <w:panose1 w:val="02010609030101010101"/>
    <w:charset w:val="86"/>
    <w:family w:val="modern"/>
    <w:pitch w:val="default"/>
    <w:sig w:usb0="00000003" w:usb1="288F0000" w:usb2="00000006" w:usb3="00000000" w:csb0="00040001" w:csb1="00000000"/>
    <w:embedRegular r:id="rId12" w:fontKey="{B51F49BB-1187-409A-9807-361E3CB8998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80707A">
    <w:pPr>
      <w:pStyle w:val="2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D6ACED">
    <w:pPr>
      <w:pStyle w:val="22"/>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247650" cy="131445"/>
              <wp:effectExtent l="0" t="0" r="0" b="0"/>
              <wp:wrapNone/>
              <wp:docPr id="7" name="文本框 5127"/>
              <wp:cNvGraphicFramePr/>
              <a:graphic xmlns:a="http://schemas.openxmlformats.org/drawingml/2006/main">
                <a:graphicData uri="http://schemas.microsoft.com/office/word/2010/wordprocessingShape">
                  <wps:wsp>
                    <wps:cNvSpPr txBox="1"/>
                    <wps:spPr>
                      <a:xfrm>
                        <a:off x="0" y="0"/>
                        <a:ext cx="247650" cy="131445"/>
                      </a:xfrm>
                      <a:prstGeom prst="rect">
                        <a:avLst/>
                      </a:prstGeom>
                      <a:noFill/>
                      <a:ln>
                        <a:noFill/>
                      </a:ln>
                    </wps:spPr>
                    <wps:txbx>
                      <w:txbxContent>
                        <w:p w14:paraId="6F0AAAB7">
                          <w:pPr>
                            <w:pStyle w:val="22"/>
                          </w:pPr>
                          <w:r>
                            <w:rPr>
                              <w:rFonts w:hint="eastAsia"/>
                            </w:rPr>
                            <w:fldChar w:fldCharType="begin"/>
                          </w:r>
                          <w:r>
                            <w:rPr>
                              <w:rFonts w:hint="eastAsia"/>
                            </w:rPr>
                            <w:instrText xml:space="preserve"> PAGE  \* MERGEFORMAT </w:instrText>
                          </w:r>
                          <w:r>
                            <w:rPr>
                              <w:rFonts w:hint="eastAsia"/>
                            </w:rPr>
                            <w:fldChar w:fldCharType="separate"/>
                          </w:r>
                          <w:r>
                            <w:t>- 1 -</w:t>
                          </w:r>
                          <w:r>
                            <w:rPr>
                              <w:rFonts w:hint="eastAsia"/>
                            </w:rPr>
                            <w:fldChar w:fldCharType="end"/>
                          </w:r>
                        </w:p>
                      </w:txbxContent>
                    </wps:txbx>
                    <wps:bodyPr wrap="none" lIns="0" tIns="0" rIns="0" bIns="0">
                      <a:spAutoFit/>
                    </wps:bodyPr>
                  </wps:wsp>
                </a:graphicData>
              </a:graphic>
            </wp:anchor>
          </w:drawing>
        </mc:Choice>
        <mc:Fallback>
          <w:pict>
            <v:shape id="文本框 5127" o:spid="_x0000_s1026" o:spt="202" type="#_x0000_t202" style="position:absolute;left:0pt;margin-top:0pt;height:10.35pt;width:19.5pt;mso-position-horizontal:center;mso-position-horizontal-relative:margin;mso-wrap-style:none;z-index:251662336;mso-width-relative:page;mso-height-relative:page;" filled="f" stroked="f" coordsize="21600,21600" o:gfxdata="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BXsUjg0AAAAAMBAAAPAAAAAAAAAAEAIAAAACIAAABkcnMvZG93bnJldi54&#10;bWxQSwECFAAUAAAACACHTuJAW2gMC8kBAACOAwAADgAAAAAAAAABACAAAAAfAQAAZHJzL2Uyb0Rv&#10;Yy54bWxQSwUGAAAAAAYABgBZAQAAWgUAAAAA&#10;">
              <v:fill on="f" focussize="0,0"/>
              <v:stroke on="f"/>
              <v:imagedata o:title=""/>
              <o:lock v:ext="edit" aspectratio="f"/>
              <v:textbox inset="0mm,0mm,0mm,0mm" style="mso-fit-shape-to-text:t;">
                <w:txbxContent>
                  <w:p w14:paraId="6F0AAAB7">
                    <w:pPr>
                      <w:pStyle w:val="22"/>
                    </w:pPr>
                    <w:r>
                      <w:rPr>
                        <w:rFonts w:hint="eastAsia"/>
                      </w:rPr>
                      <w:fldChar w:fldCharType="begin"/>
                    </w:r>
                    <w:r>
                      <w:rPr>
                        <w:rFonts w:hint="eastAsia"/>
                      </w:rPr>
                      <w:instrText xml:space="preserve"> PAGE  \* MERGEFORMAT </w:instrText>
                    </w:r>
                    <w:r>
                      <w:rPr>
                        <w:rFonts w:hint="eastAsia"/>
                      </w:rPr>
                      <w:fldChar w:fldCharType="separate"/>
                    </w:r>
                    <w:r>
                      <w:t>- 1 -</w:t>
                    </w:r>
                    <w:r>
                      <w:rPr>
                        <w:rFonts w:hint="eastAsia"/>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878E85">
    <w:pPr>
      <w:snapToGrid w:val="0"/>
      <w:rPr>
        <w:rFonts w:ascii="Calibri" w:hAnsi="Calibri" w:eastAsia="Calibri"/>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247650" cy="131445"/>
              <wp:effectExtent l="0" t="0" r="0" b="0"/>
              <wp:wrapNone/>
              <wp:docPr id="4" name="文本框 5128"/>
              <wp:cNvGraphicFramePr/>
              <a:graphic xmlns:a="http://schemas.openxmlformats.org/drawingml/2006/main">
                <a:graphicData uri="http://schemas.microsoft.com/office/word/2010/wordprocessingShape">
                  <wps:wsp>
                    <wps:cNvSpPr txBox="1"/>
                    <wps:spPr>
                      <a:xfrm>
                        <a:off x="0" y="0"/>
                        <a:ext cx="247650" cy="131445"/>
                      </a:xfrm>
                      <a:prstGeom prst="rect">
                        <a:avLst/>
                      </a:prstGeom>
                      <a:noFill/>
                      <a:ln>
                        <a:noFill/>
                      </a:ln>
                    </wps:spPr>
                    <wps:txbx>
                      <w:txbxContent>
                        <w:p w14:paraId="00EFA0AA">
                          <w:pPr>
                            <w:pStyle w:val="22"/>
                          </w:pPr>
                          <w:r>
                            <w:rPr>
                              <w:rFonts w:hint="eastAsia"/>
                            </w:rPr>
                            <w:fldChar w:fldCharType="begin"/>
                          </w:r>
                          <w:r>
                            <w:rPr>
                              <w:rFonts w:hint="eastAsia"/>
                            </w:rPr>
                            <w:instrText xml:space="preserve"> PAGE  \* MERGEFORMAT </w:instrText>
                          </w:r>
                          <w:r>
                            <w:rPr>
                              <w:rFonts w:hint="eastAsia"/>
                            </w:rPr>
                            <w:fldChar w:fldCharType="separate"/>
                          </w:r>
                          <w:r>
                            <w:t>- 22 -</w:t>
                          </w:r>
                          <w:r>
                            <w:rPr>
                              <w:rFonts w:hint="eastAsia"/>
                            </w:rPr>
                            <w:fldChar w:fldCharType="end"/>
                          </w:r>
                        </w:p>
                      </w:txbxContent>
                    </wps:txbx>
                    <wps:bodyPr wrap="none" lIns="0" tIns="0" rIns="0" bIns="0">
                      <a:spAutoFit/>
                    </wps:bodyPr>
                  </wps:wsp>
                </a:graphicData>
              </a:graphic>
            </wp:anchor>
          </w:drawing>
        </mc:Choice>
        <mc:Fallback>
          <w:pict>
            <v:shape id="文本框 5128" o:spid="_x0000_s1026" o:spt="202" type="#_x0000_t202" style="position:absolute;left:0pt;margin-top:0pt;height:10.35pt;width:19.5pt;mso-position-horizontal:center;mso-position-horizontal-relative:margin;mso-wrap-style:none;z-index:251660288;mso-width-relative:page;mso-height-relative:page;" filled="f" stroked="f" coordsize="21600,21600" o:gfxdata="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V7FI4NAAAAADAQAADwAAAAAAAAABACAAAAAiAAAAZHJzL2Rvd25yZXYu&#10;eG1sUEsBAhQAFAAAAAgAh07iQGiBdhzKAQAAjgMAAA4AAAAAAAAAAQAgAAAAHwEAAGRycy9lMm9E&#10;b2MueG1sUEsFBgAAAAAGAAYAWQEAAFsFAAAAAA==&#10;">
              <v:fill on="f" focussize="0,0"/>
              <v:stroke on="f"/>
              <v:imagedata o:title=""/>
              <o:lock v:ext="edit" aspectratio="f"/>
              <v:textbox inset="0mm,0mm,0mm,0mm" style="mso-fit-shape-to-text:t;">
                <w:txbxContent>
                  <w:p w14:paraId="00EFA0AA">
                    <w:pPr>
                      <w:pStyle w:val="22"/>
                    </w:pPr>
                    <w:r>
                      <w:rPr>
                        <w:rFonts w:hint="eastAsia"/>
                      </w:rPr>
                      <w:fldChar w:fldCharType="begin"/>
                    </w:r>
                    <w:r>
                      <w:rPr>
                        <w:rFonts w:hint="eastAsia"/>
                      </w:rPr>
                      <w:instrText xml:space="preserve"> PAGE  \* MERGEFORMAT </w:instrText>
                    </w:r>
                    <w:r>
                      <w:rPr>
                        <w:rFonts w:hint="eastAsia"/>
                      </w:rPr>
                      <w:fldChar w:fldCharType="separate"/>
                    </w:r>
                    <w:r>
                      <w:t>- 22 -</w:t>
                    </w:r>
                    <w:r>
                      <w:rPr>
                        <w:rFonts w:hint="eastAsia"/>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2807B8">
    <w:pPr>
      <w:pStyle w:val="22"/>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247650" cy="131445"/>
              <wp:effectExtent l="0" t="0" r="0" b="0"/>
              <wp:wrapNone/>
              <wp:docPr id="5" name="文本框 5129"/>
              <wp:cNvGraphicFramePr/>
              <a:graphic xmlns:a="http://schemas.openxmlformats.org/drawingml/2006/main">
                <a:graphicData uri="http://schemas.microsoft.com/office/word/2010/wordprocessingShape">
                  <wps:wsp>
                    <wps:cNvSpPr txBox="1"/>
                    <wps:spPr>
                      <a:xfrm>
                        <a:off x="0" y="0"/>
                        <a:ext cx="247650" cy="131445"/>
                      </a:xfrm>
                      <a:prstGeom prst="rect">
                        <a:avLst/>
                      </a:prstGeom>
                      <a:noFill/>
                      <a:ln>
                        <a:noFill/>
                      </a:ln>
                    </wps:spPr>
                    <wps:txbx>
                      <w:txbxContent>
                        <w:p w14:paraId="76CF0056">
                          <w:pPr>
                            <w:pStyle w:val="22"/>
                          </w:pPr>
                          <w:r>
                            <w:rPr>
                              <w:rFonts w:hint="eastAsia"/>
                            </w:rPr>
                            <w:fldChar w:fldCharType="begin"/>
                          </w:r>
                          <w:r>
                            <w:rPr>
                              <w:rFonts w:hint="eastAsia"/>
                            </w:rPr>
                            <w:instrText xml:space="preserve"> PAGE  \* MERGEFORMAT </w:instrText>
                          </w:r>
                          <w:r>
                            <w:rPr>
                              <w:rFonts w:hint="eastAsia"/>
                            </w:rPr>
                            <w:fldChar w:fldCharType="separate"/>
                          </w:r>
                          <w:r>
                            <w:t>- 49 -</w:t>
                          </w:r>
                          <w:r>
                            <w:rPr>
                              <w:rFonts w:hint="eastAsia"/>
                            </w:rPr>
                            <w:fldChar w:fldCharType="end"/>
                          </w:r>
                        </w:p>
                      </w:txbxContent>
                    </wps:txbx>
                    <wps:bodyPr wrap="none" lIns="0" tIns="0" rIns="0" bIns="0">
                      <a:spAutoFit/>
                    </wps:bodyPr>
                  </wps:wsp>
                </a:graphicData>
              </a:graphic>
            </wp:anchor>
          </w:drawing>
        </mc:Choice>
        <mc:Fallback>
          <w:pict>
            <v:shape id="文本框 5129" o:spid="_x0000_s1026" o:spt="202" type="#_x0000_t202" style="position:absolute;left:0pt;margin-top:0pt;height:10.35pt;width:19.5pt;mso-position-horizontal:center;mso-position-horizontal-relative:margin;mso-wrap-style:none;z-index:251661312;mso-width-relative:page;mso-height-relative:page;" filled="f" stroked="f" coordsize="21600,21600" o:gfxdata="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BXsUjg0AAAAAMBAAAPAAAAAAAAAAEAIAAAACIAAABkcnMvZG93bnJldi54&#10;bWxQSwECFAAUAAAACACHTuJAWlpt+skBAACOAwAADgAAAAAAAAABACAAAAAfAQAAZHJzL2Uyb0Rv&#10;Yy54bWxQSwUGAAAAAAYABgBZAQAAWgUAAAAA&#10;">
              <v:fill on="f" focussize="0,0"/>
              <v:stroke on="f"/>
              <v:imagedata o:title=""/>
              <o:lock v:ext="edit" aspectratio="f"/>
              <v:textbox inset="0mm,0mm,0mm,0mm" style="mso-fit-shape-to-text:t;">
                <w:txbxContent>
                  <w:p w14:paraId="76CF0056">
                    <w:pPr>
                      <w:pStyle w:val="22"/>
                    </w:pPr>
                    <w:r>
                      <w:rPr>
                        <w:rFonts w:hint="eastAsia"/>
                      </w:rPr>
                      <w:fldChar w:fldCharType="begin"/>
                    </w:r>
                    <w:r>
                      <w:rPr>
                        <w:rFonts w:hint="eastAsia"/>
                      </w:rPr>
                      <w:instrText xml:space="preserve"> PAGE  \* MERGEFORMAT </w:instrText>
                    </w:r>
                    <w:r>
                      <w:rPr>
                        <w:rFonts w:hint="eastAsia"/>
                      </w:rPr>
                      <w:fldChar w:fldCharType="separate"/>
                    </w:r>
                    <w:r>
                      <w:t>- 49 -</w:t>
                    </w:r>
                    <w:r>
                      <w:rPr>
                        <w:rFonts w:hint="eastAsia"/>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340344">
    <w:pPr>
      <w:pStyle w:val="2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47650" cy="131445"/>
              <wp:effectExtent l="0" t="0" r="0" b="0"/>
              <wp:wrapNone/>
              <wp:docPr id="1" name="文本框 5122"/>
              <wp:cNvGraphicFramePr/>
              <a:graphic xmlns:a="http://schemas.openxmlformats.org/drawingml/2006/main">
                <a:graphicData uri="http://schemas.microsoft.com/office/word/2010/wordprocessingShape">
                  <wps:wsp>
                    <wps:cNvSpPr txBox="1"/>
                    <wps:spPr>
                      <a:xfrm>
                        <a:off x="0" y="0"/>
                        <a:ext cx="247650" cy="131445"/>
                      </a:xfrm>
                      <a:prstGeom prst="rect">
                        <a:avLst/>
                      </a:prstGeom>
                      <a:noFill/>
                      <a:ln>
                        <a:noFill/>
                      </a:ln>
                    </wps:spPr>
                    <wps:txbx>
                      <w:txbxContent>
                        <w:p w14:paraId="17594A53">
                          <w:pPr>
                            <w:pStyle w:val="22"/>
                          </w:pPr>
                          <w:r>
                            <w:rPr>
                              <w:rFonts w:hint="eastAsia"/>
                            </w:rPr>
                            <w:fldChar w:fldCharType="begin"/>
                          </w:r>
                          <w:r>
                            <w:rPr>
                              <w:rFonts w:hint="eastAsia"/>
                            </w:rPr>
                            <w:instrText xml:space="preserve"> PAGE  \* MERGEFORMAT </w:instrText>
                          </w:r>
                          <w:r>
                            <w:rPr>
                              <w:rFonts w:hint="eastAsia"/>
                            </w:rPr>
                            <w:fldChar w:fldCharType="separate"/>
                          </w:r>
                          <w:r>
                            <w:t>- 24 -</w:t>
                          </w:r>
                          <w:r>
                            <w:rPr>
                              <w:rFonts w:hint="eastAsia"/>
                            </w:rPr>
                            <w:fldChar w:fldCharType="end"/>
                          </w:r>
                        </w:p>
                      </w:txbxContent>
                    </wps:txbx>
                    <wps:bodyPr wrap="none" lIns="0" tIns="0" rIns="0" bIns="0">
                      <a:spAutoFit/>
                    </wps:bodyPr>
                  </wps:wsp>
                </a:graphicData>
              </a:graphic>
            </wp:anchor>
          </w:drawing>
        </mc:Choice>
        <mc:Fallback>
          <w:pict>
            <v:shape id="文本框 5122" o:spid="_x0000_s1026" o:spt="202" type="#_x0000_t202" style="position:absolute;left:0pt;margin-top:0pt;height:10.35pt;width:19.5pt;mso-position-horizontal:center;mso-position-horizontal-relative:margin;mso-wrap-style:none;z-index:251659264;mso-width-relative:page;mso-height-relative:page;" filled="f" stroked="f" coordsize="21600,21600" o:gfxdata="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BXsUjg0AAAAAMBAAAPAAAAAAAAAAEAIAAAACIAAABkcnMvZG93bnJldi54&#10;bWxQSwECFAAUAAAACACHTuJAvVhOC8kBAACOAwAADgAAAAAAAAABACAAAAAfAQAAZHJzL2Uyb0Rv&#10;Yy54bWxQSwUGAAAAAAYABgBZAQAAWgUAAAAA&#10;">
              <v:fill on="f" focussize="0,0"/>
              <v:stroke on="f"/>
              <v:imagedata o:title=""/>
              <o:lock v:ext="edit" aspectratio="f"/>
              <v:textbox inset="0mm,0mm,0mm,0mm" style="mso-fit-shape-to-text:t;">
                <w:txbxContent>
                  <w:p w14:paraId="17594A53">
                    <w:pPr>
                      <w:pStyle w:val="22"/>
                    </w:pPr>
                    <w:r>
                      <w:rPr>
                        <w:rFonts w:hint="eastAsia"/>
                      </w:rPr>
                      <w:fldChar w:fldCharType="begin"/>
                    </w:r>
                    <w:r>
                      <w:rPr>
                        <w:rFonts w:hint="eastAsia"/>
                      </w:rPr>
                      <w:instrText xml:space="preserve"> PAGE  \* MERGEFORMAT </w:instrText>
                    </w:r>
                    <w:r>
                      <w:rPr>
                        <w:rFonts w:hint="eastAsia"/>
                      </w:rPr>
                      <w:fldChar w:fldCharType="separate"/>
                    </w:r>
                    <w:r>
                      <w:t>- 24 -</w:t>
                    </w:r>
                    <w:r>
                      <w:rPr>
                        <w:rFonts w:hint="eastAsia"/>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D8E2C9">
    <w:pPr>
      <w:pStyle w:val="23"/>
      <w:jc w:val="left"/>
      <w:rPr>
        <w:rFonts w:ascii="宋体" w:hAnsi="宋体" w:cs="宋体"/>
      </w:rPr>
    </w:pPr>
    <w:r>
      <w:rPr>
        <w:rFonts w:hint="eastAsia" w:ascii="宋体" w:hAnsi="宋体" w:cs="宋体"/>
      </w:rPr>
      <w:t>项目名称</w:t>
    </w:r>
    <w:r>
      <w:rPr>
        <w:rFonts w:hint="eastAsia" w:ascii="宋体" w:hAnsi="宋体" w:cs="宋体"/>
        <w:highlight w:val="none"/>
      </w:rPr>
      <w:t>：</w:t>
    </w:r>
    <w:r>
      <w:rPr>
        <w:rFonts w:hint="eastAsia" w:ascii="宋体" w:hAnsi="宋体" w:cs="宋体"/>
        <w:highlight w:val="none"/>
        <w:lang w:eastAsia="zh-CN"/>
      </w:rPr>
      <w:t>中华人民共和国广西出入境边防检查总站2025年常规性项目委托审计服务采购</w:t>
    </w:r>
    <w:r>
      <w:rPr>
        <w:rFonts w:hint="eastAsia" w:ascii="宋体" w:hAnsi="宋体" w:cs="宋体"/>
        <w:highlight w:val="none"/>
      </w:rPr>
      <w:t xml:space="preserve">   项目编号：</w:t>
    </w:r>
    <w:r>
      <w:rPr>
        <w:rFonts w:hint="eastAsia" w:ascii="宋体" w:hAnsi="宋体" w:cs="宋体"/>
        <w:highlight w:val="none"/>
        <w:lang w:eastAsia="zh-CN"/>
      </w:rPr>
      <w:t>CJAF2025235F</w:t>
    </w:r>
    <w:r>
      <w:rPr>
        <w:rFonts w:hint="eastAsia" w:ascii="宋体" w:hAnsi="宋体" w:cs="宋体"/>
        <w:highlight w:val="none"/>
      </w:rPr>
      <w:t xml:space="preserve"> </w:t>
    </w:r>
  </w:p>
  <w:p w14:paraId="21B52EA0">
    <w:pPr>
      <w:pStyle w:val="2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B8CEB78"/>
    <w:multiLevelType w:val="singleLevel"/>
    <w:tmpl w:val="EB8CEB78"/>
    <w:lvl w:ilvl="0" w:tentative="0">
      <w:start w:val="3"/>
      <w:numFmt w:val="chineseCounting"/>
      <w:suff w:val="space"/>
      <w:lvlText w:val="第%1章"/>
      <w:lvlJc w:val="left"/>
      <w:rPr>
        <w:rFonts w:hint="eastAsia"/>
      </w:rPr>
    </w:lvl>
  </w:abstractNum>
  <w:abstractNum w:abstractNumId="1">
    <w:nsid w:val="727EDBA6"/>
    <w:multiLevelType w:val="singleLevel"/>
    <w:tmpl w:val="727EDBA6"/>
    <w:lvl w:ilvl="0" w:tentative="0">
      <w:start w:val="7"/>
      <w:numFmt w:val="decimal"/>
      <w:suff w:val="space"/>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U5NTE4Y2EwNGUwNTA5ZTk0ODVmYmYwNWU3YjQyYWUifQ=="/>
  </w:docVars>
  <w:rsids>
    <w:rsidRoot w:val="00F34B14"/>
    <w:rsid w:val="00000672"/>
    <w:rsid w:val="00001013"/>
    <w:rsid w:val="00001799"/>
    <w:rsid w:val="00001AF2"/>
    <w:rsid w:val="00001ECA"/>
    <w:rsid w:val="00002D29"/>
    <w:rsid w:val="00003B93"/>
    <w:rsid w:val="0000474D"/>
    <w:rsid w:val="00005FDF"/>
    <w:rsid w:val="000070B3"/>
    <w:rsid w:val="000076B8"/>
    <w:rsid w:val="000079E0"/>
    <w:rsid w:val="000109DC"/>
    <w:rsid w:val="00010D39"/>
    <w:rsid w:val="0001172C"/>
    <w:rsid w:val="00012854"/>
    <w:rsid w:val="00012EA6"/>
    <w:rsid w:val="000139CF"/>
    <w:rsid w:val="00013AA4"/>
    <w:rsid w:val="00013DFE"/>
    <w:rsid w:val="000141EA"/>
    <w:rsid w:val="00016ABC"/>
    <w:rsid w:val="000177DB"/>
    <w:rsid w:val="000179C9"/>
    <w:rsid w:val="00017CCC"/>
    <w:rsid w:val="00020227"/>
    <w:rsid w:val="00020455"/>
    <w:rsid w:val="00020813"/>
    <w:rsid w:val="000220B2"/>
    <w:rsid w:val="0002264C"/>
    <w:rsid w:val="00022731"/>
    <w:rsid w:val="00022792"/>
    <w:rsid w:val="00024463"/>
    <w:rsid w:val="00025461"/>
    <w:rsid w:val="00025636"/>
    <w:rsid w:val="00025E36"/>
    <w:rsid w:val="00026855"/>
    <w:rsid w:val="00026886"/>
    <w:rsid w:val="000329E0"/>
    <w:rsid w:val="000352E9"/>
    <w:rsid w:val="00035494"/>
    <w:rsid w:val="00036125"/>
    <w:rsid w:val="00036A07"/>
    <w:rsid w:val="0003780B"/>
    <w:rsid w:val="00040571"/>
    <w:rsid w:val="00040973"/>
    <w:rsid w:val="0004156E"/>
    <w:rsid w:val="00041713"/>
    <w:rsid w:val="0004440C"/>
    <w:rsid w:val="00046B5E"/>
    <w:rsid w:val="000470CB"/>
    <w:rsid w:val="000509D9"/>
    <w:rsid w:val="00051ACB"/>
    <w:rsid w:val="00052C5A"/>
    <w:rsid w:val="000533E7"/>
    <w:rsid w:val="00055D41"/>
    <w:rsid w:val="00057CD6"/>
    <w:rsid w:val="00060DCE"/>
    <w:rsid w:val="000610E3"/>
    <w:rsid w:val="000614F3"/>
    <w:rsid w:val="000623B4"/>
    <w:rsid w:val="00062405"/>
    <w:rsid w:val="000634A7"/>
    <w:rsid w:val="00063B0B"/>
    <w:rsid w:val="00063F81"/>
    <w:rsid w:val="00064847"/>
    <w:rsid w:val="00064C1A"/>
    <w:rsid w:val="00065E08"/>
    <w:rsid w:val="000673E2"/>
    <w:rsid w:val="0007063F"/>
    <w:rsid w:val="000707FD"/>
    <w:rsid w:val="00070949"/>
    <w:rsid w:val="00070F08"/>
    <w:rsid w:val="000711E4"/>
    <w:rsid w:val="00072AED"/>
    <w:rsid w:val="000734F8"/>
    <w:rsid w:val="00073F47"/>
    <w:rsid w:val="0007492F"/>
    <w:rsid w:val="00074ED8"/>
    <w:rsid w:val="00075B7E"/>
    <w:rsid w:val="00077ACA"/>
    <w:rsid w:val="00077C70"/>
    <w:rsid w:val="000813B5"/>
    <w:rsid w:val="00081BA3"/>
    <w:rsid w:val="00081D2E"/>
    <w:rsid w:val="00081F89"/>
    <w:rsid w:val="00082619"/>
    <w:rsid w:val="00082D02"/>
    <w:rsid w:val="00083871"/>
    <w:rsid w:val="00083B91"/>
    <w:rsid w:val="0008473C"/>
    <w:rsid w:val="0008520B"/>
    <w:rsid w:val="000860BD"/>
    <w:rsid w:val="000871B8"/>
    <w:rsid w:val="000916DA"/>
    <w:rsid w:val="00092442"/>
    <w:rsid w:val="000929EF"/>
    <w:rsid w:val="0009560F"/>
    <w:rsid w:val="0009588E"/>
    <w:rsid w:val="000959EE"/>
    <w:rsid w:val="00096B52"/>
    <w:rsid w:val="00097183"/>
    <w:rsid w:val="000972CB"/>
    <w:rsid w:val="00097608"/>
    <w:rsid w:val="000A13F3"/>
    <w:rsid w:val="000A23B1"/>
    <w:rsid w:val="000A2B0E"/>
    <w:rsid w:val="000A398F"/>
    <w:rsid w:val="000A448C"/>
    <w:rsid w:val="000A509C"/>
    <w:rsid w:val="000A6007"/>
    <w:rsid w:val="000A65A6"/>
    <w:rsid w:val="000A6C34"/>
    <w:rsid w:val="000A70E3"/>
    <w:rsid w:val="000A7275"/>
    <w:rsid w:val="000A7A12"/>
    <w:rsid w:val="000A7A72"/>
    <w:rsid w:val="000B1202"/>
    <w:rsid w:val="000B1801"/>
    <w:rsid w:val="000B1D0C"/>
    <w:rsid w:val="000B2273"/>
    <w:rsid w:val="000B2BC6"/>
    <w:rsid w:val="000B2D03"/>
    <w:rsid w:val="000B3815"/>
    <w:rsid w:val="000B3C7B"/>
    <w:rsid w:val="000B6A6B"/>
    <w:rsid w:val="000B6C95"/>
    <w:rsid w:val="000B79FC"/>
    <w:rsid w:val="000C1679"/>
    <w:rsid w:val="000C1EE3"/>
    <w:rsid w:val="000C3AE7"/>
    <w:rsid w:val="000C3CC9"/>
    <w:rsid w:val="000C6DE4"/>
    <w:rsid w:val="000C7202"/>
    <w:rsid w:val="000C7D9F"/>
    <w:rsid w:val="000D0A89"/>
    <w:rsid w:val="000D1389"/>
    <w:rsid w:val="000D1798"/>
    <w:rsid w:val="000D2626"/>
    <w:rsid w:val="000D411D"/>
    <w:rsid w:val="000D4589"/>
    <w:rsid w:val="000D73DD"/>
    <w:rsid w:val="000E1C51"/>
    <w:rsid w:val="000E28AB"/>
    <w:rsid w:val="000E2E3E"/>
    <w:rsid w:val="000E3583"/>
    <w:rsid w:val="000E3AF0"/>
    <w:rsid w:val="000E4E04"/>
    <w:rsid w:val="000E5B71"/>
    <w:rsid w:val="000E6EC9"/>
    <w:rsid w:val="000E70B4"/>
    <w:rsid w:val="000E7B62"/>
    <w:rsid w:val="000F0E1E"/>
    <w:rsid w:val="000F1A1B"/>
    <w:rsid w:val="000F2A95"/>
    <w:rsid w:val="000F3281"/>
    <w:rsid w:val="000F32FD"/>
    <w:rsid w:val="000F3733"/>
    <w:rsid w:val="000F5F8B"/>
    <w:rsid w:val="000F6153"/>
    <w:rsid w:val="000F64AA"/>
    <w:rsid w:val="000F7AF4"/>
    <w:rsid w:val="000F7C33"/>
    <w:rsid w:val="000F7F0C"/>
    <w:rsid w:val="001004D6"/>
    <w:rsid w:val="00100741"/>
    <w:rsid w:val="00101CCC"/>
    <w:rsid w:val="00102676"/>
    <w:rsid w:val="00103646"/>
    <w:rsid w:val="00103918"/>
    <w:rsid w:val="00104897"/>
    <w:rsid w:val="00104DF7"/>
    <w:rsid w:val="00104EDE"/>
    <w:rsid w:val="00105CDA"/>
    <w:rsid w:val="00106BEE"/>
    <w:rsid w:val="00107C74"/>
    <w:rsid w:val="0011091C"/>
    <w:rsid w:val="00111266"/>
    <w:rsid w:val="001112EB"/>
    <w:rsid w:val="00113678"/>
    <w:rsid w:val="00113C3E"/>
    <w:rsid w:val="00115E11"/>
    <w:rsid w:val="00115EEE"/>
    <w:rsid w:val="00115F56"/>
    <w:rsid w:val="00116CA9"/>
    <w:rsid w:val="00116F38"/>
    <w:rsid w:val="001170A4"/>
    <w:rsid w:val="00117AE7"/>
    <w:rsid w:val="00117CBD"/>
    <w:rsid w:val="0012006A"/>
    <w:rsid w:val="00121979"/>
    <w:rsid w:val="00122064"/>
    <w:rsid w:val="00122D53"/>
    <w:rsid w:val="00124341"/>
    <w:rsid w:val="00124492"/>
    <w:rsid w:val="00124B12"/>
    <w:rsid w:val="001250A0"/>
    <w:rsid w:val="001263B8"/>
    <w:rsid w:val="00130217"/>
    <w:rsid w:val="00130783"/>
    <w:rsid w:val="00130A47"/>
    <w:rsid w:val="00132B47"/>
    <w:rsid w:val="001337F8"/>
    <w:rsid w:val="001348B4"/>
    <w:rsid w:val="001351CB"/>
    <w:rsid w:val="00135530"/>
    <w:rsid w:val="00135947"/>
    <w:rsid w:val="001359A2"/>
    <w:rsid w:val="00136020"/>
    <w:rsid w:val="00136445"/>
    <w:rsid w:val="0013796B"/>
    <w:rsid w:val="00140132"/>
    <w:rsid w:val="001403D6"/>
    <w:rsid w:val="00141C9C"/>
    <w:rsid w:val="0014277F"/>
    <w:rsid w:val="001434BE"/>
    <w:rsid w:val="00144050"/>
    <w:rsid w:val="0014479F"/>
    <w:rsid w:val="001452B4"/>
    <w:rsid w:val="00145320"/>
    <w:rsid w:val="001476D3"/>
    <w:rsid w:val="001509CF"/>
    <w:rsid w:val="00150D1D"/>
    <w:rsid w:val="001525AA"/>
    <w:rsid w:val="00152A87"/>
    <w:rsid w:val="00153BB5"/>
    <w:rsid w:val="00154518"/>
    <w:rsid w:val="00156359"/>
    <w:rsid w:val="00156DD6"/>
    <w:rsid w:val="0016086E"/>
    <w:rsid w:val="00160D0C"/>
    <w:rsid w:val="00161172"/>
    <w:rsid w:val="00161998"/>
    <w:rsid w:val="00161E65"/>
    <w:rsid w:val="00162597"/>
    <w:rsid w:val="001629AF"/>
    <w:rsid w:val="001629FD"/>
    <w:rsid w:val="0016428A"/>
    <w:rsid w:val="001647C9"/>
    <w:rsid w:val="0016536F"/>
    <w:rsid w:val="00165627"/>
    <w:rsid w:val="001661A3"/>
    <w:rsid w:val="00167226"/>
    <w:rsid w:val="0016782B"/>
    <w:rsid w:val="0016784D"/>
    <w:rsid w:val="00173256"/>
    <w:rsid w:val="00173B0E"/>
    <w:rsid w:val="00173E03"/>
    <w:rsid w:val="0017512C"/>
    <w:rsid w:val="0017586A"/>
    <w:rsid w:val="00175BA6"/>
    <w:rsid w:val="00176CA7"/>
    <w:rsid w:val="00176F8E"/>
    <w:rsid w:val="001778C5"/>
    <w:rsid w:val="00177E56"/>
    <w:rsid w:val="00177F0A"/>
    <w:rsid w:val="00180DA0"/>
    <w:rsid w:val="00181EAD"/>
    <w:rsid w:val="00182862"/>
    <w:rsid w:val="00184F57"/>
    <w:rsid w:val="00185544"/>
    <w:rsid w:val="00185617"/>
    <w:rsid w:val="00187A14"/>
    <w:rsid w:val="0019171E"/>
    <w:rsid w:val="00192368"/>
    <w:rsid w:val="001923A0"/>
    <w:rsid w:val="001928B1"/>
    <w:rsid w:val="00193537"/>
    <w:rsid w:val="00193846"/>
    <w:rsid w:val="00194D46"/>
    <w:rsid w:val="00195424"/>
    <w:rsid w:val="001955FF"/>
    <w:rsid w:val="00197EDD"/>
    <w:rsid w:val="001A02B3"/>
    <w:rsid w:val="001A04BB"/>
    <w:rsid w:val="001A08D0"/>
    <w:rsid w:val="001A1B39"/>
    <w:rsid w:val="001A2120"/>
    <w:rsid w:val="001A28C6"/>
    <w:rsid w:val="001A2E69"/>
    <w:rsid w:val="001A3C34"/>
    <w:rsid w:val="001A3EDE"/>
    <w:rsid w:val="001A4222"/>
    <w:rsid w:val="001A50EA"/>
    <w:rsid w:val="001A5E24"/>
    <w:rsid w:val="001A6B27"/>
    <w:rsid w:val="001A6D8B"/>
    <w:rsid w:val="001A6DAA"/>
    <w:rsid w:val="001A7717"/>
    <w:rsid w:val="001A793A"/>
    <w:rsid w:val="001B125A"/>
    <w:rsid w:val="001B1EBA"/>
    <w:rsid w:val="001B2142"/>
    <w:rsid w:val="001B2F2B"/>
    <w:rsid w:val="001B327A"/>
    <w:rsid w:val="001B35DE"/>
    <w:rsid w:val="001B3A13"/>
    <w:rsid w:val="001B41A4"/>
    <w:rsid w:val="001B43BE"/>
    <w:rsid w:val="001B571A"/>
    <w:rsid w:val="001B59FF"/>
    <w:rsid w:val="001B6512"/>
    <w:rsid w:val="001B65D7"/>
    <w:rsid w:val="001B6752"/>
    <w:rsid w:val="001B6768"/>
    <w:rsid w:val="001B6F1F"/>
    <w:rsid w:val="001B7ECC"/>
    <w:rsid w:val="001C025B"/>
    <w:rsid w:val="001C115F"/>
    <w:rsid w:val="001C25A7"/>
    <w:rsid w:val="001C2744"/>
    <w:rsid w:val="001C318C"/>
    <w:rsid w:val="001C35C4"/>
    <w:rsid w:val="001C4287"/>
    <w:rsid w:val="001C4479"/>
    <w:rsid w:val="001C5190"/>
    <w:rsid w:val="001C6081"/>
    <w:rsid w:val="001C7B48"/>
    <w:rsid w:val="001D0CFB"/>
    <w:rsid w:val="001D1A0D"/>
    <w:rsid w:val="001D343C"/>
    <w:rsid w:val="001D4A70"/>
    <w:rsid w:val="001D58A1"/>
    <w:rsid w:val="001D58C2"/>
    <w:rsid w:val="001D5A03"/>
    <w:rsid w:val="001D5A8A"/>
    <w:rsid w:val="001D5CF1"/>
    <w:rsid w:val="001D735E"/>
    <w:rsid w:val="001D73C8"/>
    <w:rsid w:val="001D7BC6"/>
    <w:rsid w:val="001E129E"/>
    <w:rsid w:val="001E175C"/>
    <w:rsid w:val="001E1B0E"/>
    <w:rsid w:val="001E5A94"/>
    <w:rsid w:val="001F2A2E"/>
    <w:rsid w:val="001F3356"/>
    <w:rsid w:val="001F386C"/>
    <w:rsid w:val="001F3C63"/>
    <w:rsid w:val="001F4460"/>
    <w:rsid w:val="001F47D0"/>
    <w:rsid w:val="001F711A"/>
    <w:rsid w:val="001F75B0"/>
    <w:rsid w:val="00200CE5"/>
    <w:rsid w:val="00200F7C"/>
    <w:rsid w:val="002014DB"/>
    <w:rsid w:val="00201E12"/>
    <w:rsid w:val="002033B5"/>
    <w:rsid w:val="0020382C"/>
    <w:rsid w:val="0020437A"/>
    <w:rsid w:val="0020454C"/>
    <w:rsid w:val="0020521F"/>
    <w:rsid w:val="0020532C"/>
    <w:rsid w:val="002114C7"/>
    <w:rsid w:val="0021302C"/>
    <w:rsid w:val="00213B1C"/>
    <w:rsid w:val="00214202"/>
    <w:rsid w:val="002148E3"/>
    <w:rsid w:val="0021552D"/>
    <w:rsid w:val="002156AE"/>
    <w:rsid w:val="00215E99"/>
    <w:rsid w:val="0022054D"/>
    <w:rsid w:val="00223DDB"/>
    <w:rsid w:val="00223FA4"/>
    <w:rsid w:val="00223FB0"/>
    <w:rsid w:val="00224067"/>
    <w:rsid w:val="0022421C"/>
    <w:rsid w:val="00224E83"/>
    <w:rsid w:val="00225664"/>
    <w:rsid w:val="0022663D"/>
    <w:rsid w:val="00227F2D"/>
    <w:rsid w:val="00231851"/>
    <w:rsid w:val="002319FB"/>
    <w:rsid w:val="00231B89"/>
    <w:rsid w:val="00231DAA"/>
    <w:rsid w:val="00231F11"/>
    <w:rsid w:val="00231F5E"/>
    <w:rsid w:val="002346B4"/>
    <w:rsid w:val="00234F6E"/>
    <w:rsid w:val="002355BE"/>
    <w:rsid w:val="002358EA"/>
    <w:rsid w:val="00236578"/>
    <w:rsid w:val="00236DE9"/>
    <w:rsid w:val="00237342"/>
    <w:rsid w:val="00237D5A"/>
    <w:rsid w:val="00237EA3"/>
    <w:rsid w:val="002415AE"/>
    <w:rsid w:val="00241D3C"/>
    <w:rsid w:val="00242109"/>
    <w:rsid w:val="00243189"/>
    <w:rsid w:val="002439AB"/>
    <w:rsid w:val="00243C19"/>
    <w:rsid w:val="00244AE8"/>
    <w:rsid w:val="00245587"/>
    <w:rsid w:val="00245F2B"/>
    <w:rsid w:val="00247F3A"/>
    <w:rsid w:val="00250122"/>
    <w:rsid w:val="00250755"/>
    <w:rsid w:val="00251043"/>
    <w:rsid w:val="00251C4A"/>
    <w:rsid w:val="0025271C"/>
    <w:rsid w:val="002533CD"/>
    <w:rsid w:val="00254EAB"/>
    <w:rsid w:val="002557AF"/>
    <w:rsid w:val="0025589C"/>
    <w:rsid w:val="00255B62"/>
    <w:rsid w:val="002566B1"/>
    <w:rsid w:val="002575E3"/>
    <w:rsid w:val="00257A74"/>
    <w:rsid w:val="002603C1"/>
    <w:rsid w:val="002609A1"/>
    <w:rsid w:val="002612B1"/>
    <w:rsid w:val="00266165"/>
    <w:rsid w:val="00266F2C"/>
    <w:rsid w:val="00267FDD"/>
    <w:rsid w:val="0027125E"/>
    <w:rsid w:val="00271767"/>
    <w:rsid w:val="00272293"/>
    <w:rsid w:val="002723C8"/>
    <w:rsid w:val="00273C2A"/>
    <w:rsid w:val="00273CBE"/>
    <w:rsid w:val="002746B1"/>
    <w:rsid w:val="00282D56"/>
    <w:rsid w:val="002835B0"/>
    <w:rsid w:val="00283C74"/>
    <w:rsid w:val="0028407E"/>
    <w:rsid w:val="0028410F"/>
    <w:rsid w:val="00284572"/>
    <w:rsid w:val="00285221"/>
    <w:rsid w:val="00286FB5"/>
    <w:rsid w:val="00287763"/>
    <w:rsid w:val="00290606"/>
    <w:rsid w:val="002909B2"/>
    <w:rsid w:val="00291D6D"/>
    <w:rsid w:val="00291E30"/>
    <w:rsid w:val="00291FF1"/>
    <w:rsid w:val="0029295E"/>
    <w:rsid w:val="00292AA2"/>
    <w:rsid w:val="00293361"/>
    <w:rsid w:val="002952B1"/>
    <w:rsid w:val="00295D11"/>
    <w:rsid w:val="00296FB6"/>
    <w:rsid w:val="002A0001"/>
    <w:rsid w:val="002A0BD9"/>
    <w:rsid w:val="002A0C3A"/>
    <w:rsid w:val="002A1130"/>
    <w:rsid w:val="002A1880"/>
    <w:rsid w:val="002A23B7"/>
    <w:rsid w:val="002A3A57"/>
    <w:rsid w:val="002A4B4F"/>
    <w:rsid w:val="002A57A8"/>
    <w:rsid w:val="002A6DEF"/>
    <w:rsid w:val="002A770B"/>
    <w:rsid w:val="002B013E"/>
    <w:rsid w:val="002B058D"/>
    <w:rsid w:val="002B0C16"/>
    <w:rsid w:val="002B2AC5"/>
    <w:rsid w:val="002B3528"/>
    <w:rsid w:val="002B3539"/>
    <w:rsid w:val="002B4532"/>
    <w:rsid w:val="002B5042"/>
    <w:rsid w:val="002B69CC"/>
    <w:rsid w:val="002B6D71"/>
    <w:rsid w:val="002B7524"/>
    <w:rsid w:val="002C00EE"/>
    <w:rsid w:val="002C0C1C"/>
    <w:rsid w:val="002C17B2"/>
    <w:rsid w:val="002C404A"/>
    <w:rsid w:val="002C4179"/>
    <w:rsid w:val="002C54C2"/>
    <w:rsid w:val="002C5D34"/>
    <w:rsid w:val="002C60BB"/>
    <w:rsid w:val="002C661A"/>
    <w:rsid w:val="002D0D6F"/>
    <w:rsid w:val="002D25FC"/>
    <w:rsid w:val="002D4AC6"/>
    <w:rsid w:val="002D5BF5"/>
    <w:rsid w:val="002D5EE8"/>
    <w:rsid w:val="002D7360"/>
    <w:rsid w:val="002D7648"/>
    <w:rsid w:val="002E109C"/>
    <w:rsid w:val="002E193E"/>
    <w:rsid w:val="002E1A94"/>
    <w:rsid w:val="002E1D55"/>
    <w:rsid w:val="002E26C4"/>
    <w:rsid w:val="002E30A5"/>
    <w:rsid w:val="002E47E4"/>
    <w:rsid w:val="002E4BF9"/>
    <w:rsid w:val="002E4D61"/>
    <w:rsid w:val="002E6E6C"/>
    <w:rsid w:val="002E75E9"/>
    <w:rsid w:val="002F0522"/>
    <w:rsid w:val="002F16DD"/>
    <w:rsid w:val="002F199D"/>
    <w:rsid w:val="002F213C"/>
    <w:rsid w:val="002F2453"/>
    <w:rsid w:val="002F352D"/>
    <w:rsid w:val="002F4084"/>
    <w:rsid w:val="002F4A08"/>
    <w:rsid w:val="002F4ADB"/>
    <w:rsid w:val="002F531E"/>
    <w:rsid w:val="002F548D"/>
    <w:rsid w:val="002F5ACC"/>
    <w:rsid w:val="002F704B"/>
    <w:rsid w:val="002F72C3"/>
    <w:rsid w:val="002F768C"/>
    <w:rsid w:val="002F7D1E"/>
    <w:rsid w:val="00300201"/>
    <w:rsid w:val="0030025A"/>
    <w:rsid w:val="00302EFC"/>
    <w:rsid w:val="00303243"/>
    <w:rsid w:val="00303BCC"/>
    <w:rsid w:val="00303F2B"/>
    <w:rsid w:val="00303F8D"/>
    <w:rsid w:val="0030572D"/>
    <w:rsid w:val="0030586A"/>
    <w:rsid w:val="0030622D"/>
    <w:rsid w:val="003064B1"/>
    <w:rsid w:val="00306811"/>
    <w:rsid w:val="00306F32"/>
    <w:rsid w:val="003074C5"/>
    <w:rsid w:val="00307A3C"/>
    <w:rsid w:val="00307FA4"/>
    <w:rsid w:val="00310290"/>
    <w:rsid w:val="00310CC1"/>
    <w:rsid w:val="003113C1"/>
    <w:rsid w:val="00312504"/>
    <w:rsid w:val="00313026"/>
    <w:rsid w:val="00313913"/>
    <w:rsid w:val="00313FC5"/>
    <w:rsid w:val="0031421F"/>
    <w:rsid w:val="00314B31"/>
    <w:rsid w:val="00315A65"/>
    <w:rsid w:val="00317BA7"/>
    <w:rsid w:val="00320BE2"/>
    <w:rsid w:val="00321886"/>
    <w:rsid w:val="00323682"/>
    <w:rsid w:val="00323694"/>
    <w:rsid w:val="00323BE7"/>
    <w:rsid w:val="00324C3A"/>
    <w:rsid w:val="00324D63"/>
    <w:rsid w:val="003255AF"/>
    <w:rsid w:val="003256EB"/>
    <w:rsid w:val="003259DB"/>
    <w:rsid w:val="003314D9"/>
    <w:rsid w:val="00331653"/>
    <w:rsid w:val="00331A48"/>
    <w:rsid w:val="00331BCC"/>
    <w:rsid w:val="003330C9"/>
    <w:rsid w:val="0033364C"/>
    <w:rsid w:val="00334415"/>
    <w:rsid w:val="00334DA0"/>
    <w:rsid w:val="00334FA1"/>
    <w:rsid w:val="00335EA1"/>
    <w:rsid w:val="0033691E"/>
    <w:rsid w:val="00336A6A"/>
    <w:rsid w:val="00336CCB"/>
    <w:rsid w:val="003411D1"/>
    <w:rsid w:val="003416BA"/>
    <w:rsid w:val="00342148"/>
    <w:rsid w:val="00342F99"/>
    <w:rsid w:val="0034575A"/>
    <w:rsid w:val="00345F57"/>
    <w:rsid w:val="00350E6C"/>
    <w:rsid w:val="003518A6"/>
    <w:rsid w:val="00351E7F"/>
    <w:rsid w:val="00352953"/>
    <w:rsid w:val="00354062"/>
    <w:rsid w:val="0035459E"/>
    <w:rsid w:val="003554B5"/>
    <w:rsid w:val="00355C0D"/>
    <w:rsid w:val="003566A9"/>
    <w:rsid w:val="00356988"/>
    <w:rsid w:val="00356CE9"/>
    <w:rsid w:val="003570BB"/>
    <w:rsid w:val="00357128"/>
    <w:rsid w:val="0035755E"/>
    <w:rsid w:val="00357A80"/>
    <w:rsid w:val="00361441"/>
    <w:rsid w:val="00361B8B"/>
    <w:rsid w:val="00363F39"/>
    <w:rsid w:val="0036445C"/>
    <w:rsid w:val="00364627"/>
    <w:rsid w:val="00364AB0"/>
    <w:rsid w:val="00365CB4"/>
    <w:rsid w:val="003667B0"/>
    <w:rsid w:val="003667DD"/>
    <w:rsid w:val="00366B48"/>
    <w:rsid w:val="00367764"/>
    <w:rsid w:val="00370316"/>
    <w:rsid w:val="00370DC7"/>
    <w:rsid w:val="00371CBD"/>
    <w:rsid w:val="00371F20"/>
    <w:rsid w:val="00372336"/>
    <w:rsid w:val="00372B98"/>
    <w:rsid w:val="003737B7"/>
    <w:rsid w:val="00373FC7"/>
    <w:rsid w:val="003740CC"/>
    <w:rsid w:val="003745F4"/>
    <w:rsid w:val="00374E79"/>
    <w:rsid w:val="0037529A"/>
    <w:rsid w:val="00375388"/>
    <w:rsid w:val="00375FB9"/>
    <w:rsid w:val="00376851"/>
    <w:rsid w:val="00376FA2"/>
    <w:rsid w:val="00377A3B"/>
    <w:rsid w:val="00377E3C"/>
    <w:rsid w:val="00380BBE"/>
    <w:rsid w:val="0038163B"/>
    <w:rsid w:val="00381D70"/>
    <w:rsid w:val="0038235E"/>
    <w:rsid w:val="003829D0"/>
    <w:rsid w:val="0038444F"/>
    <w:rsid w:val="003861F0"/>
    <w:rsid w:val="00387051"/>
    <w:rsid w:val="00387ECF"/>
    <w:rsid w:val="00387F96"/>
    <w:rsid w:val="0039021B"/>
    <w:rsid w:val="00390429"/>
    <w:rsid w:val="00390A33"/>
    <w:rsid w:val="0039366C"/>
    <w:rsid w:val="00393EC8"/>
    <w:rsid w:val="00395DC3"/>
    <w:rsid w:val="00395E42"/>
    <w:rsid w:val="00396409"/>
    <w:rsid w:val="00396A2D"/>
    <w:rsid w:val="00396B92"/>
    <w:rsid w:val="00396FC3"/>
    <w:rsid w:val="00397381"/>
    <w:rsid w:val="003A1A94"/>
    <w:rsid w:val="003A204E"/>
    <w:rsid w:val="003A2D25"/>
    <w:rsid w:val="003A5728"/>
    <w:rsid w:val="003A60E7"/>
    <w:rsid w:val="003A7092"/>
    <w:rsid w:val="003A72A1"/>
    <w:rsid w:val="003A7611"/>
    <w:rsid w:val="003A7D1F"/>
    <w:rsid w:val="003B0B6A"/>
    <w:rsid w:val="003B1138"/>
    <w:rsid w:val="003B22F7"/>
    <w:rsid w:val="003B29CF"/>
    <w:rsid w:val="003B3A90"/>
    <w:rsid w:val="003B534F"/>
    <w:rsid w:val="003B7A79"/>
    <w:rsid w:val="003C0FE1"/>
    <w:rsid w:val="003C151A"/>
    <w:rsid w:val="003C350C"/>
    <w:rsid w:val="003C3903"/>
    <w:rsid w:val="003C3BA0"/>
    <w:rsid w:val="003C4580"/>
    <w:rsid w:val="003C5C5E"/>
    <w:rsid w:val="003C6746"/>
    <w:rsid w:val="003C7555"/>
    <w:rsid w:val="003C7898"/>
    <w:rsid w:val="003D0FF5"/>
    <w:rsid w:val="003D11A3"/>
    <w:rsid w:val="003D1537"/>
    <w:rsid w:val="003D183C"/>
    <w:rsid w:val="003D2D1B"/>
    <w:rsid w:val="003D48C7"/>
    <w:rsid w:val="003D4C27"/>
    <w:rsid w:val="003D7109"/>
    <w:rsid w:val="003D7CE8"/>
    <w:rsid w:val="003E0514"/>
    <w:rsid w:val="003E1032"/>
    <w:rsid w:val="003E1904"/>
    <w:rsid w:val="003E285E"/>
    <w:rsid w:val="003E3124"/>
    <w:rsid w:val="003E3300"/>
    <w:rsid w:val="003E43D3"/>
    <w:rsid w:val="003E48E1"/>
    <w:rsid w:val="003E59BB"/>
    <w:rsid w:val="003E6225"/>
    <w:rsid w:val="003E65AC"/>
    <w:rsid w:val="003E66AE"/>
    <w:rsid w:val="003E72B9"/>
    <w:rsid w:val="003E7ED4"/>
    <w:rsid w:val="003F05E6"/>
    <w:rsid w:val="003F0E52"/>
    <w:rsid w:val="003F0F6B"/>
    <w:rsid w:val="003F1FC6"/>
    <w:rsid w:val="003F1FE3"/>
    <w:rsid w:val="003F2359"/>
    <w:rsid w:val="003F3865"/>
    <w:rsid w:val="003F3D55"/>
    <w:rsid w:val="003F44E2"/>
    <w:rsid w:val="003F4632"/>
    <w:rsid w:val="003F47BA"/>
    <w:rsid w:val="003F4FE6"/>
    <w:rsid w:val="003F6617"/>
    <w:rsid w:val="00402332"/>
    <w:rsid w:val="004025C2"/>
    <w:rsid w:val="00403195"/>
    <w:rsid w:val="004033A9"/>
    <w:rsid w:val="00403E55"/>
    <w:rsid w:val="0040407C"/>
    <w:rsid w:val="0040416C"/>
    <w:rsid w:val="00404681"/>
    <w:rsid w:val="00405AC1"/>
    <w:rsid w:val="00406923"/>
    <w:rsid w:val="0040763D"/>
    <w:rsid w:val="00410D17"/>
    <w:rsid w:val="00413442"/>
    <w:rsid w:val="00413821"/>
    <w:rsid w:val="00413BA5"/>
    <w:rsid w:val="004141A3"/>
    <w:rsid w:val="00414909"/>
    <w:rsid w:val="0041582F"/>
    <w:rsid w:val="00416112"/>
    <w:rsid w:val="00417AE0"/>
    <w:rsid w:val="00417BAA"/>
    <w:rsid w:val="0042042B"/>
    <w:rsid w:val="00420B45"/>
    <w:rsid w:val="00420D7A"/>
    <w:rsid w:val="00421257"/>
    <w:rsid w:val="00422193"/>
    <w:rsid w:val="004223DE"/>
    <w:rsid w:val="00422A10"/>
    <w:rsid w:val="00424D17"/>
    <w:rsid w:val="00425DFD"/>
    <w:rsid w:val="004263A3"/>
    <w:rsid w:val="00427713"/>
    <w:rsid w:val="00427CCC"/>
    <w:rsid w:val="0043013A"/>
    <w:rsid w:val="00430421"/>
    <w:rsid w:val="00430B4F"/>
    <w:rsid w:val="00430F86"/>
    <w:rsid w:val="00431084"/>
    <w:rsid w:val="004310D7"/>
    <w:rsid w:val="004322D6"/>
    <w:rsid w:val="00432589"/>
    <w:rsid w:val="00432A94"/>
    <w:rsid w:val="00432C95"/>
    <w:rsid w:val="00433827"/>
    <w:rsid w:val="00433A40"/>
    <w:rsid w:val="00434B70"/>
    <w:rsid w:val="004360C8"/>
    <w:rsid w:val="004371D5"/>
    <w:rsid w:val="0044006B"/>
    <w:rsid w:val="0044033F"/>
    <w:rsid w:val="00440630"/>
    <w:rsid w:val="00441F0F"/>
    <w:rsid w:val="00442965"/>
    <w:rsid w:val="00444157"/>
    <w:rsid w:val="0044417C"/>
    <w:rsid w:val="004444FE"/>
    <w:rsid w:val="00444DB3"/>
    <w:rsid w:val="00445617"/>
    <w:rsid w:val="00445A2F"/>
    <w:rsid w:val="0044684E"/>
    <w:rsid w:val="00446F22"/>
    <w:rsid w:val="0045019F"/>
    <w:rsid w:val="004503A4"/>
    <w:rsid w:val="00450555"/>
    <w:rsid w:val="004506FA"/>
    <w:rsid w:val="00450DC6"/>
    <w:rsid w:val="004516A5"/>
    <w:rsid w:val="00451E9C"/>
    <w:rsid w:val="0045280F"/>
    <w:rsid w:val="004535AE"/>
    <w:rsid w:val="0045444D"/>
    <w:rsid w:val="0045463A"/>
    <w:rsid w:val="00454AC9"/>
    <w:rsid w:val="00455050"/>
    <w:rsid w:val="004554A3"/>
    <w:rsid w:val="00455A6E"/>
    <w:rsid w:val="00455EAD"/>
    <w:rsid w:val="004578EB"/>
    <w:rsid w:val="004604D5"/>
    <w:rsid w:val="00460697"/>
    <w:rsid w:val="0046117B"/>
    <w:rsid w:val="00464AB7"/>
    <w:rsid w:val="00467EF8"/>
    <w:rsid w:val="00472429"/>
    <w:rsid w:val="0047249C"/>
    <w:rsid w:val="004725E5"/>
    <w:rsid w:val="00472751"/>
    <w:rsid w:val="00473128"/>
    <w:rsid w:val="00475078"/>
    <w:rsid w:val="00475767"/>
    <w:rsid w:val="004779A0"/>
    <w:rsid w:val="004808E3"/>
    <w:rsid w:val="00481016"/>
    <w:rsid w:val="0048204C"/>
    <w:rsid w:val="004821BB"/>
    <w:rsid w:val="004826FE"/>
    <w:rsid w:val="004827D5"/>
    <w:rsid w:val="00482AF2"/>
    <w:rsid w:val="004830C9"/>
    <w:rsid w:val="00483347"/>
    <w:rsid w:val="00483CD6"/>
    <w:rsid w:val="00483E2E"/>
    <w:rsid w:val="00484B69"/>
    <w:rsid w:val="00485406"/>
    <w:rsid w:val="0048590F"/>
    <w:rsid w:val="00486D60"/>
    <w:rsid w:val="00490CE3"/>
    <w:rsid w:val="00491653"/>
    <w:rsid w:val="00491FA1"/>
    <w:rsid w:val="00492A25"/>
    <w:rsid w:val="004938A3"/>
    <w:rsid w:val="0049558B"/>
    <w:rsid w:val="00496350"/>
    <w:rsid w:val="0049797C"/>
    <w:rsid w:val="004A1405"/>
    <w:rsid w:val="004A1FC6"/>
    <w:rsid w:val="004A2E5F"/>
    <w:rsid w:val="004A38C2"/>
    <w:rsid w:val="004A3C03"/>
    <w:rsid w:val="004A3DB7"/>
    <w:rsid w:val="004A5088"/>
    <w:rsid w:val="004A5255"/>
    <w:rsid w:val="004A6CB0"/>
    <w:rsid w:val="004A70FF"/>
    <w:rsid w:val="004A7EDE"/>
    <w:rsid w:val="004B0D93"/>
    <w:rsid w:val="004B0F58"/>
    <w:rsid w:val="004B1FA4"/>
    <w:rsid w:val="004B29AC"/>
    <w:rsid w:val="004B35DF"/>
    <w:rsid w:val="004B3627"/>
    <w:rsid w:val="004B4922"/>
    <w:rsid w:val="004B57DF"/>
    <w:rsid w:val="004B5976"/>
    <w:rsid w:val="004B722E"/>
    <w:rsid w:val="004B72E8"/>
    <w:rsid w:val="004C01A5"/>
    <w:rsid w:val="004C0412"/>
    <w:rsid w:val="004C2138"/>
    <w:rsid w:val="004C3940"/>
    <w:rsid w:val="004C51FD"/>
    <w:rsid w:val="004C65A8"/>
    <w:rsid w:val="004C6689"/>
    <w:rsid w:val="004D139A"/>
    <w:rsid w:val="004D14DC"/>
    <w:rsid w:val="004D17C6"/>
    <w:rsid w:val="004D2858"/>
    <w:rsid w:val="004D2E49"/>
    <w:rsid w:val="004D35BA"/>
    <w:rsid w:val="004D38E5"/>
    <w:rsid w:val="004D3C5A"/>
    <w:rsid w:val="004D449A"/>
    <w:rsid w:val="004D4701"/>
    <w:rsid w:val="004D47C7"/>
    <w:rsid w:val="004D4F35"/>
    <w:rsid w:val="004D5D45"/>
    <w:rsid w:val="004D618D"/>
    <w:rsid w:val="004D62A9"/>
    <w:rsid w:val="004D6FC3"/>
    <w:rsid w:val="004D7476"/>
    <w:rsid w:val="004D7716"/>
    <w:rsid w:val="004E0306"/>
    <w:rsid w:val="004E0572"/>
    <w:rsid w:val="004E1641"/>
    <w:rsid w:val="004E1818"/>
    <w:rsid w:val="004E1990"/>
    <w:rsid w:val="004E25A8"/>
    <w:rsid w:val="004E3930"/>
    <w:rsid w:val="004E3ED9"/>
    <w:rsid w:val="004E5866"/>
    <w:rsid w:val="004E6097"/>
    <w:rsid w:val="004E61EF"/>
    <w:rsid w:val="004E63C6"/>
    <w:rsid w:val="004E76A7"/>
    <w:rsid w:val="004E7B03"/>
    <w:rsid w:val="004F0064"/>
    <w:rsid w:val="004F06AC"/>
    <w:rsid w:val="004F1D2A"/>
    <w:rsid w:val="004F243F"/>
    <w:rsid w:val="004F252C"/>
    <w:rsid w:val="004F36A3"/>
    <w:rsid w:val="004F3E0C"/>
    <w:rsid w:val="004F4308"/>
    <w:rsid w:val="004F7160"/>
    <w:rsid w:val="00500258"/>
    <w:rsid w:val="00500B2D"/>
    <w:rsid w:val="00501A99"/>
    <w:rsid w:val="00503180"/>
    <w:rsid w:val="005038A4"/>
    <w:rsid w:val="00505450"/>
    <w:rsid w:val="005100B7"/>
    <w:rsid w:val="005113C9"/>
    <w:rsid w:val="00512050"/>
    <w:rsid w:val="00512055"/>
    <w:rsid w:val="0051280C"/>
    <w:rsid w:val="00512842"/>
    <w:rsid w:val="005128BE"/>
    <w:rsid w:val="00513437"/>
    <w:rsid w:val="0051356F"/>
    <w:rsid w:val="00513E7C"/>
    <w:rsid w:val="005140BB"/>
    <w:rsid w:val="00514FBE"/>
    <w:rsid w:val="00514FD9"/>
    <w:rsid w:val="0051550A"/>
    <w:rsid w:val="0051608F"/>
    <w:rsid w:val="00520830"/>
    <w:rsid w:val="00520EF8"/>
    <w:rsid w:val="005210F7"/>
    <w:rsid w:val="00521753"/>
    <w:rsid w:val="005224EE"/>
    <w:rsid w:val="00522879"/>
    <w:rsid w:val="00522996"/>
    <w:rsid w:val="00523BB1"/>
    <w:rsid w:val="0052570E"/>
    <w:rsid w:val="005260CD"/>
    <w:rsid w:val="00526265"/>
    <w:rsid w:val="0052655D"/>
    <w:rsid w:val="005265E0"/>
    <w:rsid w:val="00526BC3"/>
    <w:rsid w:val="005302C8"/>
    <w:rsid w:val="00531761"/>
    <w:rsid w:val="0053248F"/>
    <w:rsid w:val="0053332A"/>
    <w:rsid w:val="0053358A"/>
    <w:rsid w:val="00534668"/>
    <w:rsid w:val="00534DDD"/>
    <w:rsid w:val="00535291"/>
    <w:rsid w:val="00535A94"/>
    <w:rsid w:val="00537874"/>
    <w:rsid w:val="0053795F"/>
    <w:rsid w:val="00537CFB"/>
    <w:rsid w:val="00540511"/>
    <w:rsid w:val="00540578"/>
    <w:rsid w:val="00540808"/>
    <w:rsid w:val="0054080E"/>
    <w:rsid w:val="00540EA1"/>
    <w:rsid w:val="0054358E"/>
    <w:rsid w:val="00543AF4"/>
    <w:rsid w:val="00544191"/>
    <w:rsid w:val="0054440C"/>
    <w:rsid w:val="005448EC"/>
    <w:rsid w:val="00544C0A"/>
    <w:rsid w:val="00544F39"/>
    <w:rsid w:val="00546F90"/>
    <w:rsid w:val="0054716E"/>
    <w:rsid w:val="00547EFB"/>
    <w:rsid w:val="005522F2"/>
    <w:rsid w:val="005531DF"/>
    <w:rsid w:val="00553874"/>
    <w:rsid w:val="00554577"/>
    <w:rsid w:val="00554AD8"/>
    <w:rsid w:val="00554F78"/>
    <w:rsid w:val="00555DA1"/>
    <w:rsid w:val="005568BD"/>
    <w:rsid w:val="00556BF7"/>
    <w:rsid w:val="00557F60"/>
    <w:rsid w:val="00561730"/>
    <w:rsid w:val="00561B97"/>
    <w:rsid w:val="00562149"/>
    <w:rsid w:val="00567B5D"/>
    <w:rsid w:val="00570757"/>
    <w:rsid w:val="00573733"/>
    <w:rsid w:val="00573F8B"/>
    <w:rsid w:val="00574554"/>
    <w:rsid w:val="00574E06"/>
    <w:rsid w:val="005751BB"/>
    <w:rsid w:val="00576089"/>
    <w:rsid w:val="005764B1"/>
    <w:rsid w:val="00576852"/>
    <w:rsid w:val="00576D06"/>
    <w:rsid w:val="005779E4"/>
    <w:rsid w:val="0058289C"/>
    <w:rsid w:val="005836C7"/>
    <w:rsid w:val="0058408E"/>
    <w:rsid w:val="00585374"/>
    <w:rsid w:val="005854CA"/>
    <w:rsid w:val="00585FAB"/>
    <w:rsid w:val="00585FFE"/>
    <w:rsid w:val="00590B77"/>
    <w:rsid w:val="00590D9A"/>
    <w:rsid w:val="005913A3"/>
    <w:rsid w:val="005923B6"/>
    <w:rsid w:val="005940D4"/>
    <w:rsid w:val="00594A7B"/>
    <w:rsid w:val="0059580E"/>
    <w:rsid w:val="00595D90"/>
    <w:rsid w:val="00596A6F"/>
    <w:rsid w:val="00596FCE"/>
    <w:rsid w:val="005A01CF"/>
    <w:rsid w:val="005A11BC"/>
    <w:rsid w:val="005A1525"/>
    <w:rsid w:val="005A1E17"/>
    <w:rsid w:val="005A252B"/>
    <w:rsid w:val="005A2A8F"/>
    <w:rsid w:val="005A3204"/>
    <w:rsid w:val="005A3341"/>
    <w:rsid w:val="005A3C3D"/>
    <w:rsid w:val="005A46EC"/>
    <w:rsid w:val="005A5EAE"/>
    <w:rsid w:val="005A6407"/>
    <w:rsid w:val="005B07EC"/>
    <w:rsid w:val="005B0B81"/>
    <w:rsid w:val="005B2B11"/>
    <w:rsid w:val="005B2D50"/>
    <w:rsid w:val="005B32A4"/>
    <w:rsid w:val="005B338D"/>
    <w:rsid w:val="005B3BAF"/>
    <w:rsid w:val="005B4DA3"/>
    <w:rsid w:val="005B5BEE"/>
    <w:rsid w:val="005B77D2"/>
    <w:rsid w:val="005C019B"/>
    <w:rsid w:val="005C1AED"/>
    <w:rsid w:val="005C30F5"/>
    <w:rsid w:val="005C51A5"/>
    <w:rsid w:val="005C557A"/>
    <w:rsid w:val="005C5C47"/>
    <w:rsid w:val="005C61DD"/>
    <w:rsid w:val="005C6438"/>
    <w:rsid w:val="005C6B8B"/>
    <w:rsid w:val="005C727F"/>
    <w:rsid w:val="005D02E3"/>
    <w:rsid w:val="005D1F34"/>
    <w:rsid w:val="005D2C1F"/>
    <w:rsid w:val="005D34B2"/>
    <w:rsid w:val="005D3B54"/>
    <w:rsid w:val="005D40CD"/>
    <w:rsid w:val="005D6B59"/>
    <w:rsid w:val="005D784B"/>
    <w:rsid w:val="005E03E4"/>
    <w:rsid w:val="005E0454"/>
    <w:rsid w:val="005E05F6"/>
    <w:rsid w:val="005E2442"/>
    <w:rsid w:val="005E3111"/>
    <w:rsid w:val="005E3F85"/>
    <w:rsid w:val="005E4A5F"/>
    <w:rsid w:val="005E57B0"/>
    <w:rsid w:val="005E5B01"/>
    <w:rsid w:val="005E6D3B"/>
    <w:rsid w:val="005F009E"/>
    <w:rsid w:val="005F0DF1"/>
    <w:rsid w:val="005F1516"/>
    <w:rsid w:val="005F2245"/>
    <w:rsid w:val="005F229E"/>
    <w:rsid w:val="005F2564"/>
    <w:rsid w:val="005F3822"/>
    <w:rsid w:val="005F4635"/>
    <w:rsid w:val="005F4900"/>
    <w:rsid w:val="005F4D2D"/>
    <w:rsid w:val="005F4E52"/>
    <w:rsid w:val="005F6B19"/>
    <w:rsid w:val="005F6D58"/>
    <w:rsid w:val="005F7383"/>
    <w:rsid w:val="0060058E"/>
    <w:rsid w:val="00602A3C"/>
    <w:rsid w:val="00603CC9"/>
    <w:rsid w:val="00603EFD"/>
    <w:rsid w:val="00604601"/>
    <w:rsid w:val="0060475B"/>
    <w:rsid w:val="00604FB6"/>
    <w:rsid w:val="00605387"/>
    <w:rsid w:val="00606302"/>
    <w:rsid w:val="006076FD"/>
    <w:rsid w:val="0061143F"/>
    <w:rsid w:val="006114D8"/>
    <w:rsid w:val="00613553"/>
    <w:rsid w:val="00613601"/>
    <w:rsid w:val="00613791"/>
    <w:rsid w:val="006150D6"/>
    <w:rsid w:val="00615245"/>
    <w:rsid w:val="006156DB"/>
    <w:rsid w:val="0061590D"/>
    <w:rsid w:val="00617CFC"/>
    <w:rsid w:val="00617EEE"/>
    <w:rsid w:val="00620A1F"/>
    <w:rsid w:val="0062169D"/>
    <w:rsid w:val="0062181E"/>
    <w:rsid w:val="00622BB7"/>
    <w:rsid w:val="00622C1E"/>
    <w:rsid w:val="00623389"/>
    <w:rsid w:val="00623DAA"/>
    <w:rsid w:val="00623FAF"/>
    <w:rsid w:val="006265C4"/>
    <w:rsid w:val="0062678A"/>
    <w:rsid w:val="006270AF"/>
    <w:rsid w:val="00631A45"/>
    <w:rsid w:val="00634367"/>
    <w:rsid w:val="00640082"/>
    <w:rsid w:val="00640291"/>
    <w:rsid w:val="00640EFE"/>
    <w:rsid w:val="00641D6D"/>
    <w:rsid w:val="00641FAC"/>
    <w:rsid w:val="00643664"/>
    <w:rsid w:val="00643CAA"/>
    <w:rsid w:val="00644F16"/>
    <w:rsid w:val="006455EB"/>
    <w:rsid w:val="006456C2"/>
    <w:rsid w:val="006477F0"/>
    <w:rsid w:val="006478E4"/>
    <w:rsid w:val="0065171A"/>
    <w:rsid w:val="00652680"/>
    <w:rsid w:val="00653CDE"/>
    <w:rsid w:val="00654585"/>
    <w:rsid w:val="00655AB6"/>
    <w:rsid w:val="00656281"/>
    <w:rsid w:val="0065636A"/>
    <w:rsid w:val="00657003"/>
    <w:rsid w:val="00660238"/>
    <w:rsid w:val="006602EF"/>
    <w:rsid w:val="00661277"/>
    <w:rsid w:val="006619E0"/>
    <w:rsid w:val="00663FEA"/>
    <w:rsid w:val="00664803"/>
    <w:rsid w:val="006657C5"/>
    <w:rsid w:val="006661A4"/>
    <w:rsid w:val="00666AC0"/>
    <w:rsid w:val="006670E0"/>
    <w:rsid w:val="006671B8"/>
    <w:rsid w:val="00667275"/>
    <w:rsid w:val="00667532"/>
    <w:rsid w:val="0066783E"/>
    <w:rsid w:val="00667E53"/>
    <w:rsid w:val="006700D4"/>
    <w:rsid w:val="006713AB"/>
    <w:rsid w:val="00672CA5"/>
    <w:rsid w:val="00673711"/>
    <w:rsid w:val="00673F82"/>
    <w:rsid w:val="00674F74"/>
    <w:rsid w:val="0067508F"/>
    <w:rsid w:val="00677576"/>
    <w:rsid w:val="0068051E"/>
    <w:rsid w:val="00680B9D"/>
    <w:rsid w:val="00681F13"/>
    <w:rsid w:val="0068231C"/>
    <w:rsid w:val="00682344"/>
    <w:rsid w:val="00682F28"/>
    <w:rsid w:val="00684842"/>
    <w:rsid w:val="006859AA"/>
    <w:rsid w:val="00685BD6"/>
    <w:rsid w:val="006866CA"/>
    <w:rsid w:val="00687116"/>
    <w:rsid w:val="006878A6"/>
    <w:rsid w:val="00687D5F"/>
    <w:rsid w:val="00690437"/>
    <w:rsid w:val="00690DC3"/>
    <w:rsid w:val="00690E65"/>
    <w:rsid w:val="006911B7"/>
    <w:rsid w:val="00691387"/>
    <w:rsid w:val="0069188E"/>
    <w:rsid w:val="00691974"/>
    <w:rsid w:val="00692BF6"/>
    <w:rsid w:val="00692CE6"/>
    <w:rsid w:val="00693186"/>
    <w:rsid w:val="00693B6C"/>
    <w:rsid w:val="006942AE"/>
    <w:rsid w:val="00695421"/>
    <w:rsid w:val="00697BD3"/>
    <w:rsid w:val="00697DFA"/>
    <w:rsid w:val="006A16D5"/>
    <w:rsid w:val="006A1772"/>
    <w:rsid w:val="006A1780"/>
    <w:rsid w:val="006A21DD"/>
    <w:rsid w:val="006A26C6"/>
    <w:rsid w:val="006A3B28"/>
    <w:rsid w:val="006A4FEE"/>
    <w:rsid w:val="006A703E"/>
    <w:rsid w:val="006A7BE3"/>
    <w:rsid w:val="006A7D32"/>
    <w:rsid w:val="006B01D1"/>
    <w:rsid w:val="006B16EA"/>
    <w:rsid w:val="006B1780"/>
    <w:rsid w:val="006B224E"/>
    <w:rsid w:val="006B376E"/>
    <w:rsid w:val="006B4589"/>
    <w:rsid w:val="006B5BE4"/>
    <w:rsid w:val="006B610E"/>
    <w:rsid w:val="006B6805"/>
    <w:rsid w:val="006B6DE0"/>
    <w:rsid w:val="006C13A6"/>
    <w:rsid w:val="006C16C3"/>
    <w:rsid w:val="006C2187"/>
    <w:rsid w:val="006C2F10"/>
    <w:rsid w:val="006C32F4"/>
    <w:rsid w:val="006C3C54"/>
    <w:rsid w:val="006C4B6B"/>
    <w:rsid w:val="006C4F9F"/>
    <w:rsid w:val="006C71A2"/>
    <w:rsid w:val="006C73EC"/>
    <w:rsid w:val="006D0C1D"/>
    <w:rsid w:val="006D22BC"/>
    <w:rsid w:val="006D2E9D"/>
    <w:rsid w:val="006D3A95"/>
    <w:rsid w:val="006D4A4E"/>
    <w:rsid w:val="006D4C42"/>
    <w:rsid w:val="006D5809"/>
    <w:rsid w:val="006D607E"/>
    <w:rsid w:val="006D6E12"/>
    <w:rsid w:val="006D70CB"/>
    <w:rsid w:val="006D715C"/>
    <w:rsid w:val="006D7363"/>
    <w:rsid w:val="006D774E"/>
    <w:rsid w:val="006E0754"/>
    <w:rsid w:val="006E2668"/>
    <w:rsid w:val="006E2D39"/>
    <w:rsid w:val="006E32B0"/>
    <w:rsid w:val="006E348E"/>
    <w:rsid w:val="006E396A"/>
    <w:rsid w:val="006E3D63"/>
    <w:rsid w:val="006E520D"/>
    <w:rsid w:val="006E58BF"/>
    <w:rsid w:val="006E5DD8"/>
    <w:rsid w:val="006E5EA1"/>
    <w:rsid w:val="006E6DEE"/>
    <w:rsid w:val="006E7D4B"/>
    <w:rsid w:val="006F0760"/>
    <w:rsid w:val="006F11E2"/>
    <w:rsid w:val="006F2574"/>
    <w:rsid w:val="006F3231"/>
    <w:rsid w:val="006F3DE3"/>
    <w:rsid w:val="006F4787"/>
    <w:rsid w:val="006F61D8"/>
    <w:rsid w:val="006F62B7"/>
    <w:rsid w:val="006F70BC"/>
    <w:rsid w:val="006F7E7C"/>
    <w:rsid w:val="0070174E"/>
    <w:rsid w:val="007018DB"/>
    <w:rsid w:val="00701DE6"/>
    <w:rsid w:val="0070381B"/>
    <w:rsid w:val="0070796C"/>
    <w:rsid w:val="00710EBF"/>
    <w:rsid w:val="007110B8"/>
    <w:rsid w:val="0071209F"/>
    <w:rsid w:val="007125A2"/>
    <w:rsid w:val="00712F66"/>
    <w:rsid w:val="00713F79"/>
    <w:rsid w:val="007148A8"/>
    <w:rsid w:val="00716AC8"/>
    <w:rsid w:val="00716E54"/>
    <w:rsid w:val="0072033C"/>
    <w:rsid w:val="00720B1B"/>
    <w:rsid w:val="00721062"/>
    <w:rsid w:val="00721E5D"/>
    <w:rsid w:val="007229D4"/>
    <w:rsid w:val="007230F8"/>
    <w:rsid w:val="007233F4"/>
    <w:rsid w:val="00724044"/>
    <w:rsid w:val="007248D3"/>
    <w:rsid w:val="00725137"/>
    <w:rsid w:val="00725378"/>
    <w:rsid w:val="00727A43"/>
    <w:rsid w:val="00727FF2"/>
    <w:rsid w:val="00730550"/>
    <w:rsid w:val="00731434"/>
    <w:rsid w:val="00731E59"/>
    <w:rsid w:val="007323E0"/>
    <w:rsid w:val="00732911"/>
    <w:rsid w:val="00732954"/>
    <w:rsid w:val="00733721"/>
    <w:rsid w:val="00733DE2"/>
    <w:rsid w:val="007352EA"/>
    <w:rsid w:val="0073792F"/>
    <w:rsid w:val="00740C81"/>
    <w:rsid w:val="00740DA6"/>
    <w:rsid w:val="00741B4B"/>
    <w:rsid w:val="00741D1E"/>
    <w:rsid w:val="00741DD6"/>
    <w:rsid w:val="00741EE2"/>
    <w:rsid w:val="0074207F"/>
    <w:rsid w:val="00742367"/>
    <w:rsid w:val="00742EAA"/>
    <w:rsid w:val="00743360"/>
    <w:rsid w:val="00743818"/>
    <w:rsid w:val="00743857"/>
    <w:rsid w:val="007441FB"/>
    <w:rsid w:val="00744517"/>
    <w:rsid w:val="0074522A"/>
    <w:rsid w:val="00747295"/>
    <w:rsid w:val="00747829"/>
    <w:rsid w:val="00747DE2"/>
    <w:rsid w:val="007504BF"/>
    <w:rsid w:val="007506CD"/>
    <w:rsid w:val="0075267F"/>
    <w:rsid w:val="007526EC"/>
    <w:rsid w:val="00753C48"/>
    <w:rsid w:val="00754250"/>
    <w:rsid w:val="00754832"/>
    <w:rsid w:val="00754FE4"/>
    <w:rsid w:val="00755216"/>
    <w:rsid w:val="00756236"/>
    <w:rsid w:val="00756271"/>
    <w:rsid w:val="00756348"/>
    <w:rsid w:val="00756521"/>
    <w:rsid w:val="00756AB7"/>
    <w:rsid w:val="0076106D"/>
    <w:rsid w:val="007623FB"/>
    <w:rsid w:val="00762517"/>
    <w:rsid w:val="00763240"/>
    <w:rsid w:val="007636F9"/>
    <w:rsid w:val="0076376A"/>
    <w:rsid w:val="007648AD"/>
    <w:rsid w:val="0076504E"/>
    <w:rsid w:val="0076684F"/>
    <w:rsid w:val="00767BFD"/>
    <w:rsid w:val="00767EA0"/>
    <w:rsid w:val="0077068F"/>
    <w:rsid w:val="00771EDF"/>
    <w:rsid w:val="00772A90"/>
    <w:rsid w:val="00772F8D"/>
    <w:rsid w:val="00773BCD"/>
    <w:rsid w:val="0077408D"/>
    <w:rsid w:val="00774270"/>
    <w:rsid w:val="007743F6"/>
    <w:rsid w:val="00775679"/>
    <w:rsid w:val="0077574F"/>
    <w:rsid w:val="00775823"/>
    <w:rsid w:val="00777B32"/>
    <w:rsid w:val="0078051E"/>
    <w:rsid w:val="00781089"/>
    <w:rsid w:val="007838F3"/>
    <w:rsid w:val="007856FE"/>
    <w:rsid w:val="00785F46"/>
    <w:rsid w:val="007865F4"/>
    <w:rsid w:val="00786D5C"/>
    <w:rsid w:val="00786E96"/>
    <w:rsid w:val="00787DFF"/>
    <w:rsid w:val="00787F93"/>
    <w:rsid w:val="00791E6D"/>
    <w:rsid w:val="00791EB5"/>
    <w:rsid w:val="00793696"/>
    <w:rsid w:val="00796722"/>
    <w:rsid w:val="00796F65"/>
    <w:rsid w:val="007A11C2"/>
    <w:rsid w:val="007A18BB"/>
    <w:rsid w:val="007A27DD"/>
    <w:rsid w:val="007A41BF"/>
    <w:rsid w:val="007A490A"/>
    <w:rsid w:val="007A7B95"/>
    <w:rsid w:val="007B0297"/>
    <w:rsid w:val="007B02FA"/>
    <w:rsid w:val="007B0F53"/>
    <w:rsid w:val="007B21AE"/>
    <w:rsid w:val="007B2570"/>
    <w:rsid w:val="007B3113"/>
    <w:rsid w:val="007B325F"/>
    <w:rsid w:val="007B3304"/>
    <w:rsid w:val="007B7490"/>
    <w:rsid w:val="007C0525"/>
    <w:rsid w:val="007C13F7"/>
    <w:rsid w:val="007C218D"/>
    <w:rsid w:val="007C2D28"/>
    <w:rsid w:val="007C3E22"/>
    <w:rsid w:val="007C6218"/>
    <w:rsid w:val="007C6484"/>
    <w:rsid w:val="007C67C6"/>
    <w:rsid w:val="007C78BE"/>
    <w:rsid w:val="007C7E59"/>
    <w:rsid w:val="007D0476"/>
    <w:rsid w:val="007D0B91"/>
    <w:rsid w:val="007D1452"/>
    <w:rsid w:val="007D3DCB"/>
    <w:rsid w:val="007D460C"/>
    <w:rsid w:val="007D4996"/>
    <w:rsid w:val="007D4AD3"/>
    <w:rsid w:val="007D5D19"/>
    <w:rsid w:val="007D5FDC"/>
    <w:rsid w:val="007D6176"/>
    <w:rsid w:val="007D6D68"/>
    <w:rsid w:val="007E32DA"/>
    <w:rsid w:val="007E4998"/>
    <w:rsid w:val="007E4A9C"/>
    <w:rsid w:val="007E66D5"/>
    <w:rsid w:val="007E6914"/>
    <w:rsid w:val="007E7F78"/>
    <w:rsid w:val="007F0179"/>
    <w:rsid w:val="007F1898"/>
    <w:rsid w:val="007F2C13"/>
    <w:rsid w:val="007F2CEC"/>
    <w:rsid w:val="007F3435"/>
    <w:rsid w:val="007F55DE"/>
    <w:rsid w:val="007F762D"/>
    <w:rsid w:val="007F78F0"/>
    <w:rsid w:val="007F78FF"/>
    <w:rsid w:val="008001C5"/>
    <w:rsid w:val="00800F6C"/>
    <w:rsid w:val="00801065"/>
    <w:rsid w:val="00802C0B"/>
    <w:rsid w:val="008051FC"/>
    <w:rsid w:val="008055A9"/>
    <w:rsid w:val="008056C4"/>
    <w:rsid w:val="008057FD"/>
    <w:rsid w:val="00805D8B"/>
    <w:rsid w:val="00810E8E"/>
    <w:rsid w:val="00812C44"/>
    <w:rsid w:val="00812E20"/>
    <w:rsid w:val="008135E1"/>
    <w:rsid w:val="00813779"/>
    <w:rsid w:val="00813E26"/>
    <w:rsid w:val="0081481D"/>
    <w:rsid w:val="00814BE8"/>
    <w:rsid w:val="00814F6E"/>
    <w:rsid w:val="00815B84"/>
    <w:rsid w:val="00816BE9"/>
    <w:rsid w:val="00822518"/>
    <w:rsid w:val="008226F5"/>
    <w:rsid w:val="00823FC6"/>
    <w:rsid w:val="00824306"/>
    <w:rsid w:val="00825C74"/>
    <w:rsid w:val="00825CFA"/>
    <w:rsid w:val="0082654A"/>
    <w:rsid w:val="00826AB9"/>
    <w:rsid w:val="00826E0E"/>
    <w:rsid w:val="00827D11"/>
    <w:rsid w:val="00827E0F"/>
    <w:rsid w:val="00827F6E"/>
    <w:rsid w:val="00831758"/>
    <w:rsid w:val="008317D9"/>
    <w:rsid w:val="008319D3"/>
    <w:rsid w:val="00831F41"/>
    <w:rsid w:val="0083279F"/>
    <w:rsid w:val="008334DB"/>
    <w:rsid w:val="00833B7F"/>
    <w:rsid w:val="00834906"/>
    <w:rsid w:val="00836075"/>
    <w:rsid w:val="00836417"/>
    <w:rsid w:val="00837526"/>
    <w:rsid w:val="008407A7"/>
    <w:rsid w:val="0084322B"/>
    <w:rsid w:val="00843F81"/>
    <w:rsid w:val="00844087"/>
    <w:rsid w:val="008448F1"/>
    <w:rsid w:val="0084519E"/>
    <w:rsid w:val="00845CAE"/>
    <w:rsid w:val="00846370"/>
    <w:rsid w:val="008477E7"/>
    <w:rsid w:val="00847C2B"/>
    <w:rsid w:val="00850272"/>
    <w:rsid w:val="008506B9"/>
    <w:rsid w:val="00851822"/>
    <w:rsid w:val="008532BF"/>
    <w:rsid w:val="008539B2"/>
    <w:rsid w:val="00853BF4"/>
    <w:rsid w:val="00854294"/>
    <w:rsid w:val="0085572E"/>
    <w:rsid w:val="0085788B"/>
    <w:rsid w:val="00857A9E"/>
    <w:rsid w:val="00857DE2"/>
    <w:rsid w:val="00863A8E"/>
    <w:rsid w:val="0086407F"/>
    <w:rsid w:val="008645E3"/>
    <w:rsid w:val="00864E79"/>
    <w:rsid w:val="0086661F"/>
    <w:rsid w:val="00866A0D"/>
    <w:rsid w:val="00866DB5"/>
    <w:rsid w:val="0086701D"/>
    <w:rsid w:val="0086702B"/>
    <w:rsid w:val="008672E2"/>
    <w:rsid w:val="0086784E"/>
    <w:rsid w:val="0087121C"/>
    <w:rsid w:val="00872084"/>
    <w:rsid w:val="00872827"/>
    <w:rsid w:val="00872A32"/>
    <w:rsid w:val="00872BDD"/>
    <w:rsid w:val="00874911"/>
    <w:rsid w:val="008754E4"/>
    <w:rsid w:val="00876EAE"/>
    <w:rsid w:val="00880106"/>
    <w:rsid w:val="00880F95"/>
    <w:rsid w:val="00882475"/>
    <w:rsid w:val="00882B44"/>
    <w:rsid w:val="008838AD"/>
    <w:rsid w:val="008864B3"/>
    <w:rsid w:val="008865E5"/>
    <w:rsid w:val="008871B0"/>
    <w:rsid w:val="00890B57"/>
    <w:rsid w:val="008916BA"/>
    <w:rsid w:val="0089217C"/>
    <w:rsid w:val="00892790"/>
    <w:rsid w:val="00893671"/>
    <w:rsid w:val="00895838"/>
    <w:rsid w:val="00895A1E"/>
    <w:rsid w:val="00895A72"/>
    <w:rsid w:val="00895CDF"/>
    <w:rsid w:val="00896679"/>
    <w:rsid w:val="00896D8C"/>
    <w:rsid w:val="008A0FC9"/>
    <w:rsid w:val="008A1956"/>
    <w:rsid w:val="008A1A7C"/>
    <w:rsid w:val="008A2CE2"/>
    <w:rsid w:val="008A40D3"/>
    <w:rsid w:val="008A469C"/>
    <w:rsid w:val="008A51D1"/>
    <w:rsid w:val="008A5DCE"/>
    <w:rsid w:val="008A75D3"/>
    <w:rsid w:val="008A79CD"/>
    <w:rsid w:val="008B05DD"/>
    <w:rsid w:val="008B17E8"/>
    <w:rsid w:val="008B2E7C"/>
    <w:rsid w:val="008B45F0"/>
    <w:rsid w:val="008B4A70"/>
    <w:rsid w:val="008B502F"/>
    <w:rsid w:val="008B6DFC"/>
    <w:rsid w:val="008B7227"/>
    <w:rsid w:val="008C04E0"/>
    <w:rsid w:val="008C191C"/>
    <w:rsid w:val="008C1DA4"/>
    <w:rsid w:val="008C29B0"/>
    <w:rsid w:val="008C2CD5"/>
    <w:rsid w:val="008C3618"/>
    <w:rsid w:val="008C43AD"/>
    <w:rsid w:val="008C60B2"/>
    <w:rsid w:val="008C6118"/>
    <w:rsid w:val="008C6341"/>
    <w:rsid w:val="008C6AB4"/>
    <w:rsid w:val="008C731F"/>
    <w:rsid w:val="008C74D9"/>
    <w:rsid w:val="008D09B3"/>
    <w:rsid w:val="008D3B2D"/>
    <w:rsid w:val="008D58D9"/>
    <w:rsid w:val="008D5AD4"/>
    <w:rsid w:val="008D6DD5"/>
    <w:rsid w:val="008D6E59"/>
    <w:rsid w:val="008D70D0"/>
    <w:rsid w:val="008D7155"/>
    <w:rsid w:val="008E0B29"/>
    <w:rsid w:val="008E141A"/>
    <w:rsid w:val="008E1950"/>
    <w:rsid w:val="008E1A44"/>
    <w:rsid w:val="008E28E6"/>
    <w:rsid w:val="008E3232"/>
    <w:rsid w:val="008E3674"/>
    <w:rsid w:val="008E3B6C"/>
    <w:rsid w:val="008E562C"/>
    <w:rsid w:val="008E77D4"/>
    <w:rsid w:val="008E7ADD"/>
    <w:rsid w:val="008F091F"/>
    <w:rsid w:val="008F17B2"/>
    <w:rsid w:val="008F22B3"/>
    <w:rsid w:val="008F357B"/>
    <w:rsid w:val="008F3865"/>
    <w:rsid w:val="008F44CA"/>
    <w:rsid w:val="008F49D3"/>
    <w:rsid w:val="008F5912"/>
    <w:rsid w:val="008F6519"/>
    <w:rsid w:val="008F7012"/>
    <w:rsid w:val="008F7ADA"/>
    <w:rsid w:val="008F7B17"/>
    <w:rsid w:val="00900042"/>
    <w:rsid w:val="0090034B"/>
    <w:rsid w:val="00902623"/>
    <w:rsid w:val="00902A67"/>
    <w:rsid w:val="00902C5E"/>
    <w:rsid w:val="00904BE4"/>
    <w:rsid w:val="00904F1A"/>
    <w:rsid w:val="0090504A"/>
    <w:rsid w:val="009051F5"/>
    <w:rsid w:val="00905221"/>
    <w:rsid w:val="00905A7C"/>
    <w:rsid w:val="00905D7E"/>
    <w:rsid w:val="00907037"/>
    <w:rsid w:val="0091112C"/>
    <w:rsid w:val="0091160A"/>
    <w:rsid w:val="00912E04"/>
    <w:rsid w:val="00913258"/>
    <w:rsid w:val="00913851"/>
    <w:rsid w:val="00913BB0"/>
    <w:rsid w:val="0091456C"/>
    <w:rsid w:val="00914C58"/>
    <w:rsid w:val="0091564D"/>
    <w:rsid w:val="009156DA"/>
    <w:rsid w:val="00915774"/>
    <w:rsid w:val="00915CEA"/>
    <w:rsid w:val="00916BC5"/>
    <w:rsid w:val="0091726A"/>
    <w:rsid w:val="00917C01"/>
    <w:rsid w:val="00920184"/>
    <w:rsid w:val="00920EA4"/>
    <w:rsid w:val="00921792"/>
    <w:rsid w:val="00921BEA"/>
    <w:rsid w:val="009227BE"/>
    <w:rsid w:val="009238FD"/>
    <w:rsid w:val="00923998"/>
    <w:rsid w:val="00923DB4"/>
    <w:rsid w:val="0092420B"/>
    <w:rsid w:val="0092430E"/>
    <w:rsid w:val="00926112"/>
    <w:rsid w:val="0092625F"/>
    <w:rsid w:val="00926B28"/>
    <w:rsid w:val="00926D9C"/>
    <w:rsid w:val="00927028"/>
    <w:rsid w:val="00927763"/>
    <w:rsid w:val="00927A2D"/>
    <w:rsid w:val="00927B37"/>
    <w:rsid w:val="009321B1"/>
    <w:rsid w:val="00932ED7"/>
    <w:rsid w:val="0093422D"/>
    <w:rsid w:val="0093483B"/>
    <w:rsid w:val="00934CF9"/>
    <w:rsid w:val="00934DD7"/>
    <w:rsid w:val="009369A9"/>
    <w:rsid w:val="00936CF7"/>
    <w:rsid w:val="00937783"/>
    <w:rsid w:val="00937C3E"/>
    <w:rsid w:val="00937EAD"/>
    <w:rsid w:val="00937F28"/>
    <w:rsid w:val="00940FE1"/>
    <w:rsid w:val="00942306"/>
    <w:rsid w:val="009424B8"/>
    <w:rsid w:val="00944668"/>
    <w:rsid w:val="00944DC6"/>
    <w:rsid w:val="009458B0"/>
    <w:rsid w:val="00945B52"/>
    <w:rsid w:val="00945B7A"/>
    <w:rsid w:val="00945F05"/>
    <w:rsid w:val="00946348"/>
    <w:rsid w:val="00947797"/>
    <w:rsid w:val="009478A2"/>
    <w:rsid w:val="0095274F"/>
    <w:rsid w:val="009539A6"/>
    <w:rsid w:val="00954032"/>
    <w:rsid w:val="00955FBB"/>
    <w:rsid w:val="0095694B"/>
    <w:rsid w:val="00956BD5"/>
    <w:rsid w:val="00956D84"/>
    <w:rsid w:val="009577B5"/>
    <w:rsid w:val="009608E6"/>
    <w:rsid w:val="00960F57"/>
    <w:rsid w:val="00961C90"/>
    <w:rsid w:val="00965443"/>
    <w:rsid w:val="00965954"/>
    <w:rsid w:val="00965E55"/>
    <w:rsid w:val="0096608E"/>
    <w:rsid w:val="00966522"/>
    <w:rsid w:val="00966C33"/>
    <w:rsid w:val="00970F18"/>
    <w:rsid w:val="00970F72"/>
    <w:rsid w:val="00971CF1"/>
    <w:rsid w:val="00971F5D"/>
    <w:rsid w:val="009721E9"/>
    <w:rsid w:val="00973772"/>
    <w:rsid w:val="0097560A"/>
    <w:rsid w:val="00975E1E"/>
    <w:rsid w:val="00975E70"/>
    <w:rsid w:val="009761DE"/>
    <w:rsid w:val="009766FA"/>
    <w:rsid w:val="00977B76"/>
    <w:rsid w:val="00977CD6"/>
    <w:rsid w:val="00980DF9"/>
    <w:rsid w:val="0098243D"/>
    <w:rsid w:val="00982D26"/>
    <w:rsid w:val="00983B6E"/>
    <w:rsid w:val="00983FE5"/>
    <w:rsid w:val="009849E9"/>
    <w:rsid w:val="009859E4"/>
    <w:rsid w:val="0098772C"/>
    <w:rsid w:val="00987812"/>
    <w:rsid w:val="00990225"/>
    <w:rsid w:val="00992A13"/>
    <w:rsid w:val="00992F58"/>
    <w:rsid w:val="00994AAD"/>
    <w:rsid w:val="00995150"/>
    <w:rsid w:val="00995D67"/>
    <w:rsid w:val="009A013B"/>
    <w:rsid w:val="009A02F4"/>
    <w:rsid w:val="009A06BF"/>
    <w:rsid w:val="009A0D17"/>
    <w:rsid w:val="009A2494"/>
    <w:rsid w:val="009A29DC"/>
    <w:rsid w:val="009A32B1"/>
    <w:rsid w:val="009A33A3"/>
    <w:rsid w:val="009A36F2"/>
    <w:rsid w:val="009A3CAB"/>
    <w:rsid w:val="009A40C3"/>
    <w:rsid w:val="009A40D5"/>
    <w:rsid w:val="009A57D0"/>
    <w:rsid w:val="009A6559"/>
    <w:rsid w:val="009A68FC"/>
    <w:rsid w:val="009A6CE4"/>
    <w:rsid w:val="009A7514"/>
    <w:rsid w:val="009A7E7A"/>
    <w:rsid w:val="009B1584"/>
    <w:rsid w:val="009B18F0"/>
    <w:rsid w:val="009B2471"/>
    <w:rsid w:val="009B314F"/>
    <w:rsid w:val="009B439C"/>
    <w:rsid w:val="009B49A1"/>
    <w:rsid w:val="009B4A6C"/>
    <w:rsid w:val="009B4DA8"/>
    <w:rsid w:val="009B519A"/>
    <w:rsid w:val="009B620C"/>
    <w:rsid w:val="009B6753"/>
    <w:rsid w:val="009B676C"/>
    <w:rsid w:val="009B6A26"/>
    <w:rsid w:val="009C079D"/>
    <w:rsid w:val="009C0D70"/>
    <w:rsid w:val="009C13D1"/>
    <w:rsid w:val="009C1A38"/>
    <w:rsid w:val="009C2913"/>
    <w:rsid w:val="009C2BD4"/>
    <w:rsid w:val="009C5AFE"/>
    <w:rsid w:val="009C6606"/>
    <w:rsid w:val="009C6CE5"/>
    <w:rsid w:val="009C6D50"/>
    <w:rsid w:val="009C7547"/>
    <w:rsid w:val="009C7870"/>
    <w:rsid w:val="009D05EC"/>
    <w:rsid w:val="009D18D4"/>
    <w:rsid w:val="009D2F60"/>
    <w:rsid w:val="009D3A2E"/>
    <w:rsid w:val="009D5ADE"/>
    <w:rsid w:val="009D5BAC"/>
    <w:rsid w:val="009D5C56"/>
    <w:rsid w:val="009D6265"/>
    <w:rsid w:val="009D64BD"/>
    <w:rsid w:val="009D6CB1"/>
    <w:rsid w:val="009E0286"/>
    <w:rsid w:val="009E153F"/>
    <w:rsid w:val="009E1EA2"/>
    <w:rsid w:val="009E322A"/>
    <w:rsid w:val="009E393E"/>
    <w:rsid w:val="009E444E"/>
    <w:rsid w:val="009E4968"/>
    <w:rsid w:val="009E5826"/>
    <w:rsid w:val="009E663C"/>
    <w:rsid w:val="009E684A"/>
    <w:rsid w:val="009E6BB1"/>
    <w:rsid w:val="009E6E14"/>
    <w:rsid w:val="009F0494"/>
    <w:rsid w:val="009F0CD9"/>
    <w:rsid w:val="009F1A79"/>
    <w:rsid w:val="009F1F57"/>
    <w:rsid w:val="009F2DDD"/>
    <w:rsid w:val="009F3447"/>
    <w:rsid w:val="009F3866"/>
    <w:rsid w:val="009F65F4"/>
    <w:rsid w:val="009F676B"/>
    <w:rsid w:val="009F6D2D"/>
    <w:rsid w:val="009F6D54"/>
    <w:rsid w:val="00A004DF"/>
    <w:rsid w:val="00A00FD5"/>
    <w:rsid w:val="00A012C0"/>
    <w:rsid w:val="00A019A8"/>
    <w:rsid w:val="00A01B03"/>
    <w:rsid w:val="00A01B89"/>
    <w:rsid w:val="00A02C66"/>
    <w:rsid w:val="00A02C84"/>
    <w:rsid w:val="00A0464C"/>
    <w:rsid w:val="00A050BB"/>
    <w:rsid w:val="00A054E0"/>
    <w:rsid w:val="00A05D91"/>
    <w:rsid w:val="00A0740B"/>
    <w:rsid w:val="00A07ED3"/>
    <w:rsid w:val="00A10CA8"/>
    <w:rsid w:val="00A11042"/>
    <w:rsid w:val="00A12579"/>
    <w:rsid w:val="00A133D8"/>
    <w:rsid w:val="00A15655"/>
    <w:rsid w:val="00A1740C"/>
    <w:rsid w:val="00A20069"/>
    <w:rsid w:val="00A2244D"/>
    <w:rsid w:val="00A2253D"/>
    <w:rsid w:val="00A2364D"/>
    <w:rsid w:val="00A247B8"/>
    <w:rsid w:val="00A2495A"/>
    <w:rsid w:val="00A24C7A"/>
    <w:rsid w:val="00A24D8F"/>
    <w:rsid w:val="00A256F1"/>
    <w:rsid w:val="00A25B8B"/>
    <w:rsid w:val="00A2689F"/>
    <w:rsid w:val="00A26ECA"/>
    <w:rsid w:val="00A27461"/>
    <w:rsid w:val="00A27D67"/>
    <w:rsid w:val="00A30ABC"/>
    <w:rsid w:val="00A33B74"/>
    <w:rsid w:val="00A3467F"/>
    <w:rsid w:val="00A34B4C"/>
    <w:rsid w:val="00A35030"/>
    <w:rsid w:val="00A3551A"/>
    <w:rsid w:val="00A37209"/>
    <w:rsid w:val="00A37584"/>
    <w:rsid w:val="00A376E8"/>
    <w:rsid w:val="00A37F8E"/>
    <w:rsid w:val="00A41537"/>
    <w:rsid w:val="00A41737"/>
    <w:rsid w:val="00A42B8F"/>
    <w:rsid w:val="00A42D8E"/>
    <w:rsid w:val="00A43254"/>
    <w:rsid w:val="00A43896"/>
    <w:rsid w:val="00A43A26"/>
    <w:rsid w:val="00A447A0"/>
    <w:rsid w:val="00A459F5"/>
    <w:rsid w:val="00A45FC0"/>
    <w:rsid w:val="00A47ECC"/>
    <w:rsid w:val="00A50171"/>
    <w:rsid w:val="00A504FA"/>
    <w:rsid w:val="00A5102E"/>
    <w:rsid w:val="00A5132E"/>
    <w:rsid w:val="00A51375"/>
    <w:rsid w:val="00A51533"/>
    <w:rsid w:val="00A531D4"/>
    <w:rsid w:val="00A54572"/>
    <w:rsid w:val="00A575B8"/>
    <w:rsid w:val="00A61C60"/>
    <w:rsid w:val="00A61ECB"/>
    <w:rsid w:val="00A6410C"/>
    <w:rsid w:val="00A647B1"/>
    <w:rsid w:val="00A64DEF"/>
    <w:rsid w:val="00A654D2"/>
    <w:rsid w:val="00A665DF"/>
    <w:rsid w:val="00A67FCC"/>
    <w:rsid w:val="00A70AA5"/>
    <w:rsid w:val="00A70C03"/>
    <w:rsid w:val="00A71256"/>
    <w:rsid w:val="00A7217B"/>
    <w:rsid w:val="00A73861"/>
    <w:rsid w:val="00A739A6"/>
    <w:rsid w:val="00A740ED"/>
    <w:rsid w:val="00A74C29"/>
    <w:rsid w:val="00A74C62"/>
    <w:rsid w:val="00A75EF9"/>
    <w:rsid w:val="00A8253B"/>
    <w:rsid w:val="00A8311C"/>
    <w:rsid w:val="00A835D0"/>
    <w:rsid w:val="00A84C5F"/>
    <w:rsid w:val="00A85930"/>
    <w:rsid w:val="00A863F7"/>
    <w:rsid w:val="00A86604"/>
    <w:rsid w:val="00A87433"/>
    <w:rsid w:val="00A87519"/>
    <w:rsid w:val="00A9246D"/>
    <w:rsid w:val="00A93BD0"/>
    <w:rsid w:val="00A93CC2"/>
    <w:rsid w:val="00A974CC"/>
    <w:rsid w:val="00AA2001"/>
    <w:rsid w:val="00AA2B5C"/>
    <w:rsid w:val="00AA32D2"/>
    <w:rsid w:val="00AA39CE"/>
    <w:rsid w:val="00AA4016"/>
    <w:rsid w:val="00AA4C1F"/>
    <w:rsid w:val="00AA5328"/>
    <w:rsid w:val="00AA5393"/>
    <w:rsid w:val="00AA63D4"/>
    <w:rsid w:val="00AB03FD"/>
    <w:rsid w:val="00AB2000"/>
    <w:rsid w:val="00AB38CB"/>
    <w:rsid w:val="00AB3BEC"/>
    <w:rsid w:val="00AB44E4"/>
    <w:rsid w:val="00AB4AEB"/>
    <w:rsid w:val="00AB4E5F"/>
    <w:rsid w:val="00AB5352"/>
    <w:rsid w:val="00AB56AE"/>
    <w:rsid w:val="00AB62D5"/>
    <w:rsid w:val="00AB65B5"/>
    <w:rsid w:val="00AB6DCD"/>
    <w:rsid w:val="00AB6EE0"/>
    <w:rsid w:val="00AC17A2"/>
    <w:rsid w:val="00AC1FDA"/>
    <w:rsid w:val="00AC40B7"/>
    <w:rsid w:val="00AC531F"/>
    <w:rsid w:val="00AC5B36"/>
    <w:rsid w:val="00AC6377"/>
    <w:rsid w:val="00AC66A4"/>
    <w:rsid w:val="00AC6CB1"/>
    <w:rsid w:val="00AC7D6D"/>
    <w:rsid w:val="00AD0042"/>
    <w:rsid w:val="00AD0091"/>
    <w:rsid w:val="00AD23EF"/>
    <w:rsid w:val="00AD2662"/>
    <w:rsid w:val="00AD307B"/>
    <w:rsid w:val="00AD4014"/>
    <w:rsid w:val="00AD41B3"/>
    <w:rsid w:val="00AD69F0"/>
    <w:rsid w:val="00AD7127"/>
    <w:rsid w:val="00AD730C"/>
    <w:rsid w:val="00AE123A"/>
    <w:rsid w:val="00AE1539"/>
    <w:rsid w:val="00AE28A7"/>
    <w:rsid w:val="00AE2A98"/>
    <w:rsid w:val="00AE2CF2"/>
    <w:rsid w:val="00AE3012"/>
    <w:rsid w:val="00AE33A6"/>
    <w:rsid w:val="00AE3729"/>
    <w:rsid w:val="00AE4CCE"/>
    <w:rsid w:val="00AE5C6A"/>
    <w:rsid w:val="00AE7280"/>
    <w:rsid w:val="00AF033A"/>
    <w:rsid w:val="00AF1699"/>
    <w:rsid w:val="00AF1FD3"/>
    <w:rsid w:val="00AF2910"/>
    <w:rsid w:val="00AF34B8"/>
    <w:rsid w:val="00AF3896"/>
    <w:rsid w:val="00AF3FC2"/>
    <w:rsid w:val="00B0098A"/>
    <w:rsid w:val="00B00A5F"/>
    <w:rsid w:val="00B029B8"/>
    <w:rsid w:val="00B02F60"/>
    <w:rsid w:val="00B032B8"/>
    <w:rsid w:val="00B04721"/>
    <w:rsid w:val="00B04B15"/>
    <w:rsid w:val="00B04B46"/>
    <w:rsid w:val="00B0534D"/>
    <w:rsid w:val="00B05685"/>
    <w:rsid w:val="00B05F9F"/>
    <w:rsid w:val="00B06368"/>
    <w:rsid w:val="00B068DA"/>
    <w:rsid w:val="00B06FC6"/>
    <w:rsid w:val="00B074C9"/>
    <w:rsid w:val="00B07D9D"/>
    <w:rsid w:val="00B11AE5"/>
    <w:rsid w:val="00B12FE6"/>
    <w:rsid w:val="00B1303F"/>
    <w:rsid w:val="00B1364A"/>
    <w:rsid w:val="00B13859"/>
    <w:rsid w:val="00B14319"/>
    <w:rsid w:val="00B14A06"/>
    <w:rsid w:val="00B158E1"/>
    <w:rsid w:val="00B16715"/>
    <w:rsid w:val="00B1768E"/>
    <w:rsid w:val="00B17910"/>
    <w:rsid w:val="00B20F18"/>
    <w:rsid w:val="00B21516"/>
    <w:rsid w:val="00B21A37"/>
    <w:rsid w:val="00B21F62"/>
    <w:rsid w:val="00B22CE0"/>
    <w:rsid w:val="00B23738"/>
    <w:rsid w:val="00B23BEF"/>
    <w:rsid w:val="00B247BB"/>
    <w:rsid w:val="00B2504A"/>
    <w:rsid w:val="00B25EE6"/>
    <w:rsid w:val="00B3115A"/>
    <w:rsid w:val="00B31825"/>
    <w:rsid w:val="00B31A5C"/>
    <w:rsid w:val="00B33B06"/>
    <w:rsid w:val="00B33C19"/>
    <w:rsid w:val="00B35A15"/>
    <w:rsid w:val="00B36A99"/>
    <w:rsid w:val="00B36B28"/>
    <w:rsid w:val="00B40E03"/>
    <w:rsid w:val="00B42264"/>
    <w:rsid w:val="00B434B2"/>
    <w:rsid w:val="00B43D45"/>
    <w:rsid w:val="00B4492D"/>
    <w:rsid w:val="00B468F2"/>
    <w:rsid w:val="00B469DE"/>
    <w:rsid w:val="00B46FC2"/>
    <w:rsid w:val="00B47286"/>
    <w:rsid w:val="00B50234"/>
    <w:rsid w:val="00B51BF4"/>
    <w:rsid w:val="00B52C68"/>
    <w:rsid w:val="00B5372B"/>
    <w:rsid w:val="00B542FE"/>
    <w:rsid w:val="00B55A1B"/>
    <w:rsid w:val="00B561DB"/>
    <w:rsid w:val="00B56DF9"/>
    <w:rsid w:val="00B600BD"/>
    <w:rsid w:val="00B61274"/>
    <w:rsid w:val="00B61DCE"/>
    <w:rsid w:val="00B62188"/>
    <w:rsid w:val="00B62F79"/>
    <w:rsid w:val="00B62F82"/>
    <w:rsid w:val="00B6306A"/>
    <w:rsid w:val="00B635E3"/>
    <w:rsid w:val="00B662FF"/>
    <w:rsid w:val="00B66679"/>
    <w:rsid w:val="00B70145"/>
    <w:rsid w:val="00B71A92"/>
    <w:rsid w:val="00B721D8"/>
    <w:rsid w:val="00B730CA"/>
    <w:rsid w:val="00B747C5"/>
    <w:rsid w:val="00B74F2F"/>
    <w:rsid w:val="00B753ED"/>
    <w:rsid w:val="00B769BC"/>
    <w:rsid w:val="00B77349"/>
    <w:rsid w:val="00B7761E"/>
    <w:rsid w:val="00B80A3D"/>
    <w:rsid w:val="00B80B04"/>
    <w:rsid w:val="00B821E4"/>
    <w:rsid w:val="00B823E0"/>
    <w:rsid w:val="00B8260D"/>
    <w:rsid w:val="00B82B78"/>
    <w:rsid w:val="00B845B4"/>
    <w:rsid w:val="00B84662"/>
    <w:rsid w:val="00B84C74"/>
    <w:rsid w:val="00B85191"/>
    <w:rsid w:val="00B858A1"/>
    <w:rsid w:val="00B85FEC"/>
    <w:rsid w:val="00B864A3"/>
    <w:rsid w:val="00B86C2A"/>
    <w:rsid w:val="00B902A5"/>
    <w:rsid w:val="00B90420"/>
    <w:rsid w:val="00B90848"/>
    <w:rsid w:val="00B91146"/>
    <w:rsid w:val="00B913E4"/>
    <w:rsid w:val="00B91DB9"/>
    <w:rsid w:val="00B91FF3"/>
    <w:rsid w:val="00B93EFE"/>
    <w:rsid w:val="00B944B9"/>
    <w:rsid w:val="00B94956"/>
    <w:rsid w:val="00B94C7F"/>
    <w:rsid w:val="00B94E93"/>
    <w:rsid w:val="00B956B5"/>
    <w:rsid w:val="00B96DF2"/>
    <w:rsid w:val="00B96E18"/>
    <w:rsid w:val="00B96F5A"/>
    <w:rsid w:val="00BA0B39"/>
    <w:rsid w:val="00BA0CB2"/>
    <w:rsid w:val="00BA0E26"/>
    <w:rsid w:val="00BA138B"/>
    <w:rsid w:val="00BA305B"/>
    <w:rsid w:val="00BA31BF"/>
    <w:rsid w:val="00BA3FC7"/>
    <w:rsid w:val="00BA478B"/>
    <w:rsid w:val="00BA5224"/>
    <w:rsid w:val="00BA54DF"/>
    <w:rsid w:val="00BA575E"/>
    <w:rsid w:val="00BA76B7"/>
    <w:rsid w:val="00BA7E3B"/>
    <w:rsid w:val="00BB078D"/>
    <w:rsid w:val="00BB079C"/>
    <w:rsid w:val="00BB0D7A"/>
    <w:rsid w:val="00BB10E1"/>
    <w:rsid w:val="00BB2471"/>
    <w:rsid w:val="00BB3035"/>
    <w:rsid w:val="00BB39C1"/>
    <w:rsid w:val="00BB3DF5"/>
    <w:rsid w:val="00BB5D16"/>
    <w:rsid w:val="00BB6180"/>
    <w:rsid w:val="00BB69E6"/>
    <w:rsid w:val="00BB7BE5"/>
    <w:rsid w:val="00BC08BD"/>
    <w:rsid w:val="00BC11E8"/>
    <w:rsid w:val="00BC1259"/>
    <w:rsid w:val="00BC1B7A"/>
    <w:rsid w:val="00BC2C17"/>
    <w:rsid w:val="00BC3ACD"/>
    <w:rsid w:val="00BC3B20"/>
    <w:rsid w:val="00BC3EE4"/>
    <w:rsid w:val="00BC588C"/>
    <w:rsid w:val="00BC6E73"/>
    <w:rsid w:val="00BC74D3"/>
    <w:rsid w:val="00BD0014"/>
    <w:rsid w:val="00BD01D8"/>
    <w:rsid w:val="00BD10CF"/>
    <w:rsid w:val="00BD255F"/>
    <w:rsid w:val="00BD2895"/>
    <w:rsid w:val="00BD4236"/>
    <w:rsid w:val="00BD483B"/>
    <w:rsid w:val="00BD5CD4"/>
    <w:rsid w:val="00BD65D9"/>
    <w:rsid w:val="00BD6DF3"/>
    <w:rsid w:val="00BD6E09"/>
    <w:rsid w:val="00BD6EF9"/>
    <w:rsid w:val="00BE0ACB"/>
    <w:rsid w:val="00BE2260"/>
    <w:rsid w:val="00BE3917"/>
    <w:rsid w:val="00BE50FD"/>
    <w:rsid w:val="00BE51CA"/>
    <w:rsid w:val="00BE537F"/>
    <w:rsid w:val="00BE5D77"/>
    <w:rsid w:val="00BE6D47"/>
    <w:rsid w:val="00BE7032"/>
    <w:rsid w:val="00BE7330"/>
    <w:rsid w:val="00BF01C5"/>
    <w:rsid w:val="00BF061A"/>
    <w:rsid w:val="00BF066A"/>
    <w:rsid w:val="00BF101B"/>
    <w:rsid w:val="00BF14CC"/>
    <w:rsid w:val="00BF1821"/>
    <w:rsid w:val="00BF4342"/>
    <w:rsid w:val="00BF4704"/>
    <w:rsid w:val="00BF4FFC"/>
    <w:rsid w:val="00BF5050"/>
    <w:rsid w:val="00BF50D1"/>
    <w:rsid w:val="00BF5422"/>
    <w:rsid w:val="00BF59B1"/>
    <w:rsid w:val="00BF6A78"/>
    <w:rsid w:val="00BF7695"/>
    <w:rsid w:val="00BF79B4"/>
    <w:rsid w:val="00BF7C61"/>
    <w:rsid w:val="00C00EDD"/>
    <w:rsid w:val="00C01427"/>
    <w:rsid w:val="00C014C7"/>
    <w:rsid w:val="00C047AB"/>
    <w:rsid w:val="00C058AF"/>
    <w:rsid w:val="00C11CBC"/>
    <w:rsid w:val="00C124C1"/>
    <w:rsid w:val="00C128AE"/>
    <w:rsid w:val="00C12BA8"/>
    <w:rsid w:val="00C136D6"/>
    <w:rsid w:val="00C13D5B"/>
    <w:rsid w:val="00C141D7"/>
    <w:rsid w:val="00C1711B"/>
    <w:rsid w:val="00C17AE2"/>
    <w:rsid w:val="00C20140"/>
    <w:rsid w:val="00C20F27"/>
    <w:rsid w:val="00C215CF"/>
    <w:rsid w:val="00C2244B"/>
    <w:rsid w:val="00C22711"/>
    <w:rsid w:val="00C2280A"/>
    <w:rsid w:val="00C22B0D"/>
    <w:rsid w:val="00C23522"/>
    <w:rsid w:val="00C240C1"/>
    <w:rsid w:val="00C24AED"/>
    <w:rsid w:val="00C250D0"/>
    <w:rsid w:val="00C252AC"/>
    <w:rsid w:val="00C25C0F"/>
    <w:rsid w:val="00C26567"/>
    <w:rsid w:val="00C26923"/>
    <w:rsid w:val="00C27214"/>
    <w:rsid w:val="00C27597"/>
    <w:rsid w:val="00C27E5E"/>
    <w:rsid w:val="00C30382"/>
    <w:rsid w:val="00C30772"/>
    <w:rsid w:val="00C30D6F"/>
    <w:rsid w:val="00C31063"/>
    <w:rsid w:val="00C31298"/>
    <w:rsid w:val="00C31B7E"/>
    <w:rsid w:val="00C322D1"/>
    <w:rsid w:val="00C3242A"/>
    <w:rsid w:val="00C33201"/>
    <w:rsid w:val="00C33A39"/>
    <w:rsid w:val="00C35D01"/>
    <w:rsid w:val="00C360B3"/>
    <w:rsid w:val="00C37027"/>
    <w:rsid w:val="00C37B19"/>
    <w:rsid w:val="00C413CB"/>
    <w:rsid w:val="00C42752"/>
    <w:rsid w:val="00C42973"/>
    <w:rsid w:val="00C43A50"/>
    <w:rsid w:val="00C5034F"/>
    <w:rsid w:val="00C50830"/>
    <w:rsid w:val="00C52479"/>
    <w:rsid w:val="00C5266E"/>
    <w:rsid w:val="00C52C59"/>
    <w:rsid w:val="00C5349E"/>
    <w:rsid w:val="00C539FF"/>
    <w:rsid w:val="00C544BD"/>
    <w:rsid w:val="00C54D3D"/>
    <w:rsid w:val="00C55A30"/>
    <w:rsid w:val="00C56384"/>
    <w:rsid w:val="00C60F8C"/>
    <w:rsid w:val="00C61794"/>
    <w:rsid w:val="00C61CDE"/>
    <w:rsid w:val="00C62A48"/>
    <w:rsid w:val="00C62AC4"/>
    <w:rsid w:val="00C62B59"/>
    <w:rsid w:val="00C62EC1"/>
    <w:rsid w:val="00C62F96"/>
    <w:rsid w:val="00C631E1"/>
    <w:rsid w:val="00C638D8"/>
    <w:rsid w:val="00C63D26"/>
    <w:rsid w:val="00C6540A"/>
    <w:rsid w:val="00C668A1"/>
    <w:rsid w:val="00C67223"/>
    <w:rsid w:val="00C707B8"/>
    <w:rsid w:val="00C708F5"/>
    <w:rsid w:val="00C712AC"/>
    <w:rsid w:val="00C71C15"/>
    <w:rsid w:val="00C71F3D"/>
    <w:rsid w:val="00C72F53"/>
    <w:rsid w:val="00C74035"/>
    <w:rsid w:val="00C748EA"/>
    <w:rsid w:val="00C77818"/>
    <w:rsid w:val="00C8063F"/>
    <w:rsid w:val="00C81282"/>
    <w:rsid w:val="00C83214"/>
    <w:rsid w:val="00C8329F"/>
    <w:rsid w:val="00C84F8A"/>
    <w:rsid w:val="00C85BA4"/>
    <w:rsid w:val="00C8618F"/>
    <w:rsid w:val="00C8625D"/>
    <w:rsid w:val="00C90372"/>
    <w:rsid w:val="00C9041F"/>
    <w:rsid w:val="00C9166B"/>
    <w:rsid w:val="00C91A45"/>
    <w:rsid w:val="00C91FB4"/>
    <w:rsid w:val="00C92150"/>
    <w:rsid w:val="00C92328"/>
    <w:rsid w:val="00C92D42"/>
    <w:rsid w:val="00C938C2"/>
    <w:rsid w:val="00C93F8A"/>
    <w:rsid w:val="00C94EA1"/>
    <w:rsid w:val="00C95038"/>
    <w:rsid w:val="00C95745"/>
    <w:rsid w:val="00C95902"/>
    <w:rsid w:val="00C962E3"/>
    <w:rsid w:val="00C96FF0"/>
    <w:rsid w:val="00C978E2"/>
    <w:rsid w:val="00C97997"/>
    <w:rsid w:val="00CA10A2"/>
    <w:rsid w:val="00CA1D83"/>
    <w:rsid w:val="00CA25C0"/>
    <w:rsid w:val="00CA3451"/>
    <w:rsid w:val="00CA35C6"/>
    <w:rsid w:val="00CA4948"/>
    <w:rsid w:val="00CA52F9"/>
    <w:rsid w:val="00CA5368"/>
    <w:rsid w:val="00CA568B"/>
    <w:rsid w:val="00CA573A"/>
    <w:rsid w:val="00CB19FE"/>
    <w:rsid w:val="00CB2364"/>
    <w:rsid w:val="00CB304C"/>
    <w:rsid w:val="00CB34CA"/>
    <w:rsid w:val="00CB3933"/>
    <w:rsid w:val="00CB53E8"/>
    <w:rsid w:val="00CB594A"/>
    <w:rsid w:val="00CB5CB2"/>
    <w:rsid w:val="00CB6979"/>
    <w:rsid w:val="00CB7DDE"/>
    <w:rsid w:val="00CC0A3D"/>
    <w:rsid w:val="00CC2270"/>
    <w:rsid w:val="00CC3C53"/>
    <w:rsid w:val="00CC3D24"/>
    <w:rsid w:val="00CC3F91"/>
    <w:rsid w:val="00CC4ACD"/>
    <w:rsid w:val="00CC4B0A"/>
    <w:rsid w:val="00CC544A"/>
    <w:rsid w:val="00CC57EA"/>
    <w:rsid w:val="00CC5954"/>
    <w:rsid w:val="00CC629B"/>
    <w:rsid w:val="00CC6C4E"/>
    <w:rsid w:val="00CD009D"/>
    <w:rsid w:val="00CD05A2"/>
    <w:rsid w:val="00CD29D4"/>
    <w:rsid w:val="00CD2B5C"/>
    <w:rsid w:val="00CD2FF3"/>
    <w:rsid w:val="00CD3323"/>
    <w:rsid w:val="00CD38F5"/>
    <w:rsid w:val="00CD437E"/>
    <w:rsid w:val="00CD5DAD"/>
    <w:rsid w:val="00CD72C5"/>
    <w:rsid w:val="00CD79A7"/>
    <w:rsid w:val="00CE0789"/>
    <w:rsid w:val="00CE0E8D"/>
    <w:rsid w:val="00CE1A03"/>
    <w:rsid w:val="00CE2346"/>
    <w:rsid w:val="00CE25B2"/>
    <w:rsid w:val="00CE3529"/>
    <w:rsid w:val="00CE35C8"/>
    <w:rsid w:val="00CE3962"/>
    <w:rsid w:val="00CE4D1A"/>
    <w:rsid w:val="00CE4E8A"/>
    <w:rsid w:val="00CE5105"/>
    <w:rsid w:val="00CE56BD"/>
    <w:rsid w:val="00CE5EC0"/>
    <w:rsid w:val="00CE6F9F"/>
    <w:rsid w:val="00CE781A"/>
    <w:rsid w:val="00CE7B08"/>
    <w:rsid w:val="00CE7D52"/>
    <w:rsid w:val="00CF1D74"/>
    <w:rsid w:val="00CF2BE2"/>
    <w:rsid w:val="00CF3DEB"/>
    <w:rsid w:val="00CF55F9"/>
    <w:rsid w:val="00CF7074"/>
    <w:rsid w:val="00CF7495"/>
    <w:rsid w:val="00D000CD"/>
    <w:rsid w:val="00D01CF9"/>
    <w:rsid w:val="00D0334D"/>
    <w:rsid w:val="00D0374D"/>
    <w:rsid w:val="00D03947"/>
    <w:rsid w:val="00D06D7B"/>
    <w:rsid w:val="00D06DA5"/>
    <w:rsid w:val="00D07191"/>
    <w:rsid w:val="00D07F1D"/>
    <w:rsid w:val="00D10558"/>
    <w:rsid w:val="00D10FE7"/>
    <w:rsid w:val="00D11D4D"/>
    <w:rsid w:val="00D126DC"/>
    <w:rsid w:val="00D12B03"/>
    <w:rsid w:val="00D13E70"/>
    <w:rsid w:val="00D16C58"/>
    <w:rsid w:val="00D17019"/>
    <w:rsid w:val="00D17FC8"/>
    <w:rsid w:val="00D20B44"/>
    <w:rsid w:val="00D21168"/>
    <w:rsid w:val="00D2438C"/>
    <w:rsid w:val="00D26C3F"/>
    <w:rsid w:val="00D27185"/>
    <w:rsid w:val="00D33AB3"/>
    <w:rsid w:val="00D33F24"/>
    <w:rsid w:val="00D3406E"/>
    <w:rsid w:val="00D34160"/>
    <w:rsid w:val="00D346B8"/>
    <w:rsid w:val="00D34DCA"/>
    <w:rsid w:val="00D35AC8"/>
    <w:rsid w:val="00D36F87"/>
    <w:rsid w:val="00D37E4E"/>
    <w:rsid w:val="00D417D8"/>
    <w:rsid w:val="00D41F78"/>
    <w:rsid w:val="00D42E6C"/>
    <w:rsid w:val="00D4351C"/>
    <w:rsid w:val="00D43B80"/>
    <w:rsid w:val="00D44988"/>
    <w:rsid w:val="00D45B4C"/>
    <w:rsid w:val="00D45BA4"/>
    <w:rsid w:val="00D471AF"/>
    <w:rsid w:val="00D4723D"/>
    <w:rsid w:val="00D4724F"/>
    <w:rsid w:val="00D50519"/>
    <w:rsid w:val="00D5154C"/>
    <w:rsid w:val="00D51601"/>
    <w:rsid w:val="00D51ECB"/>
    <w:rsid w:val="00D5247A"/>
    <w:rsid w:val="00D5264C"/>
    <w:rsid w:val="00D52BBC"/>
    <w:rsid w:val="00D537FE"/>
    <w:rsid w:val="00D53CC9"/>
    <w:rsid w:val="00D54A6A"/>
    <w:rsid w:val="00D54B8F"/>
    <w:rsid w:val="00D55951"/>
    <w:rsid w:val="00D57EB6"/>
    <w:rsid w:val="00D608C0"/>
    <w:rsid w:val="00D60D6D"/>
    <w:rsid w:val="00D66D8B"/>
    <w:rsid w:val="00D70849"/>
    <w:rsid w:val="00D72297"/>
    <w:rsid w:val="00D72A1C"/>
    <w:rsid w:val="00D7308F"/>
    <w:rsid w:val="00D7313E"/>
    <w:rsid w:val="00D73580"/>
    <w:rsid w:val="00D73802"/>
    <w:rsid w:val="00D73C2C"/>
    <w:rsid w:val="00D73D52"/>
    <w:rsid w:val="00D745E7"/>
    <w:rsid w:val="00D774ED"/>
    <w:rsid w:val="00D777C3"/>
    <w:rsid w:val="00D77C44"/>
    <w:rsid w:val="00D77F88"/>
    <w:rsid w:val="00D81AFA"/>
    <w:rsid w:val="00D81EAA"/>
    <w:rsid w:val="00D81FE2"/>
    <w:rsid w:val="00D8259F"/>
    <w:rsid w:val="00D825F2"/>
    <w:rsid w:val="00D8285C"/>
    <w:rsid w:val="00D828B1"/>
    <w:rsid w:val="00D83D49"/>
    <w:rsid w:val="00D84181"/>
    <w:rsid w:val="00D84754"/>
    <w:rsid w:val="00D84F27"/>
    <w:rsid w:val="00D853F0"/>
    <w:rsid w:val="00D86620"/>
    <w:rsid w:val="00D86D47"/>
    <w:rsid w:val="00D8710C"/>
    <w:rsid w:val="00D873C6"/>
    <w:rsid w:val="00D9074A"/>
    <w:rsid w:val="00D9099E"/>
    <w:rsid w:val="00D90A55"/>
    <w:rsid w:val="00D9193A"/>
    <w:rsid w:val="00D923B2"/>
    <w:rsid w:val="00D93E64"/>
    <w:rsid w:val="00D93F64"/>
    <w:rsid w:val="00D94CA4"/>
    <w:rsid w:val="00D95E99"/>
    <w:rsid w:val="00D965D5"/>
    <w:rsid w:val="00D97DA2"/>
    <w:rsid w:val="00DA16DF"/>
    <w:rsid w:val="00DA1A3A"/>
    <w:rsid w:val="00DA2351"/>
    <w:rsid w:val="00DA249E"/>
    <w:rsid w:val="00DA2D3D"/>
    <w:rsid w:val="00DA4C30"/>
    <w:rsid w:val="00DB145E"/>
    <w:rsid w:val="00DB1A94"/>
    <w:rsid w:val="00DB1D52"/>
    <w:rsid w:val="00DB1F62"/>
    <w:rsid w:val="00DB21E7"/>
    <w:rsid w:val="00DB2E03"/>
    <w:rsid w:val="00DB3510"/>
    <w:rsid w:val="00DB3742"/>
    <w:rsid w:val="00DB3E9B"/>
    <w:rsid w:val="00DB3F4B"/>
    <w:rsid w:val="00DB5375"/>
    <w:rsid w:val="00DB67C1"/>
    <w:rsid w:val="00DB6C0B"/>
    <w:rsid w:val="00DB70F4"/>
    <w:rsid w:val="00DC0685"/>
    <w:rsid w:val="00DC0B84"/>
    <w:rsid w:val="00DC1056"/>
    <w:rsid w:val="00DC1442"/>
    <w:rsid w:val="00DC21D8"/>
    <w:rsid w:val="00DC282A"/>
    <w:rsid w:val="00DC34DC"/>
    <w:rsid w:val="00DC3780"/>
    <w:rsid w:val="00DC3ADA"/>
    <w:rsid w:val="00DC3CC6"/>
    <w:rsid w:val="00DC3F55"/>
    <w:rsid w:val="00DC4782"/>
    <w:rsid w:val="00DC514A"/>
    <w:rsid w:val="00DC67B1"/>
    <w:rsid w:val="00DC7FBC"/>
    <w:rsid w:val="00DD0019"/>
    <w:rsid w:val="00DD0144"/>
    <w:rsid w:val="00DD132B"/>
    <w:rsid w:val="00DD1725"/>
    <w:rsid w:val="00DD2159"/>
    <w:rsid w:val="00DD218B"/>
    <w:rsid w:val="00DD2A18"/>
    <w:rsid w:val="00DD3044"/>
    <w:rsid w:val="00DD3567"/>
    <w:rsid w:val="00DD3985"/>
    <w:rsid w:val="00DD58E1"/>
    <w:rsid w:val="00DD61E8"/>
    <w:rsid w:val="00DD62C0"/>
    <w:rsid w:val="00DD64DE"/>
    <w:rsid w:val="00DD7859"/>
    <w:rsid w:val="00DD7B41"/>
    <w:rsid w:val="00DE0784"/>
    <w:rsid w:val="00DE0A1D"/>
    <w:rsid w:val="00DE15B2"/>
    <w:rsid w:val="00DE1A9A"/>
    <w:rsid w:val="00DE3D2C"/>
    <w:rsid w:val="00DE5E82"/>
    <w:rsid w:val="00DE5FA6"/>
    <w:rsid w:val="00DE6792"/>
    <w:rsid w:val="00DE6AA1"/>
    <w:rsid w:val="00DE7EF7"/>
    <w:rsid w:val="00DF015B"/>
    <w:rsid w:val="00DF02EC"/>
    <w:rsid w:val="00DF10FC"/>
    <w:rsid w:val="00DF1185"/>
    <w:rsid w:val="00DF1299"/>
    <w:rsid w:val="00DF1A70"/>
    <w:rsid w:val="00DF1E5F"/>
    <w:rsid w:val="00DF23A8"/>
    <w:rsid w:val="00DF2F27"/>
    <w:rsid w:val="00DF36B6"/>
    <w:rsid w:val="00DF4296"/>
    <w:rsid w:val="00DF53F0"/>
    <w:rsid w:val="00DF5F38"/>
    <w:rsid w:val="00DF6608"/>
    <w:rsid w:val="00DF6CCC"/>
    <w:rsid w:val="00DF6D0C"/>
    <w:rsid w:val="00DF6F64"/>
    <w:rsid w:val="00DF721E"/>
    <w:rsid w:val="00DF7B8A"/>
    <w:rsid w:val="00DF7C87"/>
    <w:rsid w:val="00E00588"/>
    <w:rsid w:val="00E009B0"/>
    <w:rsid w:val="00E00A12"/>
    <w:rsid w:val="00E00C49"/>
    <w:rsid w:val="00E0219D"/>
    <w:rsid w:val="00E04C0F"/>
    <w:rsid w:val="00E0570B"/>
    <w:rsid w:val="00E10913"/>
    <w:rsid w:val="00E10B87"/>
    <w:rsid w:val="00E121CE"/>
    <w:rsid w:val="00E1478B"/>
    <w:rsid w:val="00E14FAC"/>
    <w:rsid w:val="00E15007"/>
    <w:rsid w:val="00E16277"/>
    <w:rsid w:val="00E16EC7"/>
    <w:rsid w:val="00E219CE"/>
    <w:rsid w:val="00E24071"/>
    <w:rsid w:val="00E24EBC"/>
    <w:rsid w:val="00E2522C"/>
    <w:rsid w:val="00E2552F"/>
    <w:rsid w:val="00E2599B"/>
    <w:rsid w:val="00E26347"/>
    <w:rsid w:val="00E2710C"/>
    <w:rsid w:val="00E27428"/>
    <w:rsid w:val="00E27673"/>
    <w:rsid w:val="00E27BB3"/>
    <w:rsid w:val="00E305B4"/>
    <w:rsid w:val="00E30FAC"/>
    <w:rsid w:val="00E31AFA"/>
    <w:rsid w:val="00E31CB7"/>
    <w:rsid w:val="00E31DE6"/>
    <w:rsid w:val="00E324EE"/>
    <w:rsid w:val="00E34DB1"/>
    <w:rsid w:val="00E35931"/>
    <w:rsid w:val="00E359FF"/>
    <w:rsid w:val="00E402C5"/>
    <w:rsid w:val="00E402F4"/>
    <w:rsid w:val="00E405F1"/>
    <w:rsid w:val="00E417DB"/>
    <w:rsid w:val="00E4262E"/>
    <w:rsid w:val="00E43054"/>
    <w:rsid w:val="00E44440"/>
    <w:rsid w:val="00E46013"/>
    <w:rsid w:val="00E47099"/>
    <w:rsid w:val="00E47284"/>
    <w:rsid w:val="00E477C3"/>
    <w:rsid w:val="00E51E16"/>
    <w:rsid w:val="00E53730"/>
    <w:rsid w:val="00E5438D"/>
    <w:rsid w:val="00E54511"/>
    <w:rsid w:val="00E54E50"/>
    <w:rsid w:val="00E55288"/>
    <w:rsid w:val="00E57577"/>
    <w:rsid w:val="00E577F9"/>
    <w:rsid w:val="00E62043"/>
    <w:rsid w:val="00E626B9"/>
    <w:rsid w:val="00E627C9"/>
    <w:rsid w:val="00E630F3"/>
    <w:rsid w:val="00E6332F"/>
    <w:rsid w:val="00E637C9"/>
    <w:rsid w:val="00E6402D"/>
    <w:rsid w:val="00E64FA7"/>
    <w:rsid w:val="00E6680A"/>
    <w:rsid w:val="00E66F0D"/>
    <w:rsid w:val="00E70615"/>
    <w:rsid w:val="00E7161E"/>
    <w:rsid w:val="00E7207B"/>
    <w:rsid w:val="00E7347A"/>
    <w:rsid w:val="00E75A47"/>
    <w:rsid w:val="00E75BB6"/>
    <w:rsid w:val="00E75D8C"/>
    <w:rsid w:val="00E777F2"/>
    <w:rsid w:val="00E802C9"/>
    <w:rsid w:val="00E80F0A"/>
    <w:rsid w:val="00E815D4"/>
    <w:rsid w:val="00E8291B"/>
    <w:rsid w:val="00E82E70"/>
    <w:rsid w:val="00E82F92"/>
    <w:rsid w:val="00E8395F"/>
    <w:rsid w:val="00E8410F"/>
    <w:rsid w:val="00E849D7"/>
    <w:rsid w:val="00E85E41"/>
    <w:rsid w:val="00E85EA1"/>
    <w:rsid w:val="00E86703"/>
    <w:rsid w:val="00E91044"/>
    <w:rsid w:val="00E910D3"/>
    <w:rsid w:val="00E92154"/>
    <w:rsid w:val="00E923CF"/>
    <w:rsid w:val="00E93685"/>
    <w:rsid w:val="00E93B65"/>
    <w:rsid w:val="00E93C8C"/>
    <w:rsid w:val="00E95111"/>
    <w:rsid w:val="00E95FDF"/>
    <w:rsid w:val="00EA146A"/>
    <w:rsid w:val="00EA14C8"/>
    <w:rsid w:val="00EA2110"/>
    <w:rsid w:val="00EA283A"/>
    <w:rsid w:val="00EA2C90"/>
    <w:rsid w:val="00EA2E07"/>
    <w:rsid w:val="00EA48F3"/>
    <w:rsid w:val="00EA60BF"/>
    <w:rsid w:val="00EA7365"/>
    <w:rsid w:val="00EA763F"/>
    <w:rsid w:val="00EA77E9"/>
    <w:rsid w:val="00EB05D0"/>
    <w:rsid w:val="00EB1151"/>
    <w:rsid w:val="00EB1D49"/>
    <w:rsid w:val="00EB2386"/>
    <w:rsid w:val="00EB23D9"/>
    <w:rsid w:val="00EB39A0"/>
    <w:rsid w:val="00EB559F"/>
    <w:rsid w:val="00EB566C"/>
    <w:rsid w:val="00EB5F3D"/>
    <w:rsid w:val="00EC1CEB"/>
    <w:rsid w:val="00EC1DC0"/>
    <w:rsid w:val="00EC1DC2"/>
    <w:rsid w:val="00EC21EC"/>
    <w:rsid w:val="00EC24B8"/>
    <w:rsid w:val="00EC268C"/>
    <w:rsid w:val="00EC3753"/>
    <w:rsid w:val="00EC4E71"/>
    <w:rsid w:val="00EC5F1C"/>
    <w:rsid w:val="00ED0365"/>
    <w:rsid w:val="00ED0865"/>
    <w:rsid w:val="00ED1C60"/>
    <w:rsid w:val="00ED2EB9"/>
    <w:rsid w:val="00ED3A31"/>
    <w:rsid w:val="00ED4469"/>
    <w:rsid w:val="00ED5F23"/>
    <w:rsid w:val="00ED6DC0"/>
    <w:rsid w:val="00ED7A7A"/>
    <w:rsid w:val="00EE0327"/>
    <w:rsid w:val="00EE038C"/>
    <w:rsid w:val="00EE1D67"/>
    <w:rsid w:val="00EE28C5"/>
    <w:rsid w:val="00EE2F09"/>
    <w:rsid w:val="00EE47C5"/>
    <w:rsid w:val="00EE490C"/>
    <w:rsid w:val="00EE4E57"/>
    <w:rsid w:val="00EE5738"/>
    <w:rsid w:val="00EE58BD"/>
    <w:rsid w:val="00EE5E59"/>
    <w:rsid w:val="00EE73D0"/>
    <w:rsid w:val="00EE7CB0"/>
    <w:rsid w:val="00EF0286"/>
    <w:rsid w:val="00EF08A8"/>
    <w:rsid w:val="00EF167B"/>
    <w:rsid w:val="00EF3291"/>
    <w:rsid w:val="00EF41A8"/>
    <w:rsid w:val="00EF44FB"/>
    <w:rsid w:val="00EF4B6B"/>
    <w:rsid w:val="00EF5122"/>
    <w:rsid w:val="00EF5554"/>
    <w:rsid w:val="00EF5AD8"/>
    <w:rsid w:val="00EF6B90"/>
    <w:rsid w:val="00EF7807"/>
    <w:rsid w:val="00EF79F7"/>
    <w:rsid w:val="00F006C0"/>
    <w:rsid w:val="00F0125F"/>
    <w:rsid w:val="00F019AA"/>
    <w:rsid w:val="00F0267E"/>
    <w:rsid w:val="00F02686"/>
    <w:rsid w:val="00F030C0"/>
    <w:rsid w:val="00F03291"/>
    <w:rsid w:val="00F0459B"/>
    <w:rsid w:val="00F04E15"/>
    <w:rsid w:val="00F05DF3"/>
    <w:rsid w:val="00F069EA"/>
    <w:rsid w:val="00F070E5"/>
    <w:rsid w:val="00F07DDE"/>
    <w:rsid w:val="00F11675"/>
    <w:rsid w:val="00F12557"/>
    <w:rsid w:val="00F13599"/>
    <w:rsid w:val="00F13B28"/>
    <w:rsid w:val="00F156A0"/>
    <w:rsid w:val="00F15730"/>
    <w:rsid w:val="00F202C2"/>
    <w:rsid w:val="00F212F6"/>
    <w:rsid w:val="00F22756"/>
    <w:rsid w:val="00F23890"/>
    <w:rsid w:val="00F2504D"/>
    <w:rsid w:val="00F2637F"/>
    <w:rsid w:val="00F268F7"/>
    <w:rsid w:val="00F30B83"/>
    <w:rsid w:val="00F30BDB"/>
    <w:rsid w:val="00F30CF8"/>
    <w:rsid w:val="00F31EDF"/>
    <w:rsid w:val="00F32CDE"/>
    <w:rsid w:val="00F32D4C"/>
    <w:rsid w:val="00F3327E"/>
    <w:rsid w:val="00F338C3"/>
    <w:rsid w:val="00F34B14"/>
    <w:rsid w:val="00F34F58"/>
    <w:rsid w:val="00F35DA7"/>
    <w:rsid w:val="00F36A6A"/>
    <w:rsid w:val="00F40101"/>
    <w:rsid w:val="00F404F7"/>
    <w:rsid w:val="00F40CCA"/>
    <w:rsid w:val="00F42D97"/>
    <w:rsid w:val="00F436B2"/>
    <w:rsid w:val="00F43813"/>
    <w:rsid w:val="00F43FEE"/>
    <w:rsid w:val="00F45A72"/>
    <w:rsid w:val="00F46723"/>
    <w:rsid w:val="00F468B5"/>
    <w:rsid w:val="00F4706D"/>
    <w:rsid w:val="00F4758A"/>
    <w:rsid w:val="00F476E1"/>
    <w:rsid w:val="00F47D1D"/>
    <w:rsid w:val="00F47F29"/>
    <w:rsid w:val="00F50016"/>
    <w:rsid w:val="00F5118A"/>
    <w:rsid w:val="00F51A21"/>
    <w:rsid w:val="00F51D4D"/>
    <w:rsid w:val="00F52614"/>
    <w:rsid w:val="00F5276E"/>
    <w:rsid w:val="00F52E9F"/>
    <w:rsid w:val="00F53304"/>
    <w:rsid w:val="00F53B81"/>
    <w:rsid w:val="00F540FE"/>
    <w:rsid w:val="00F556FF"/>
    <w:rsid w:val="00F55D12"/>
    <w:rsid w:val="00F5687F"/>
    <w:rsid w:val="00F5743C"/>
    <w:rsid w:val="00F575C7"/>
    <w:rsid w:val="00F57FD0"/>
    <w:rsid w:val="00F60305"/>
    <w:rsid w:val="00F612AE"/>
    <w:rsid w:val="00F61654"/>
    <w:rsid w:val="00F61B12"/>
    <w:rsid w:val="00F63264"/>
    <w:rsid w:val="00F634E4"/>
    <w:rsid w:val="00F6379E"/>
    <w:rsid w:val="00F65022"/>
    <w:rsid w:val="00F65171"/>
    <w:rsid w:val="00F6560D"/>
    <w:rsid w:val="00F6594A"/>
    <w:rsid w:val="00F67844"/>
    <w:rsid w:val="00F70799"/>
    <w:rsid w:val="00F70A8B"/>
    <w:rsid w:val="00F70B8D"/>
    <w:rsid w:val="00F714F1"/>
    <w:rsid w:val="00F71DD8"/>
    <w:rsid w:val="00F724EC"/>
    <w:rsid w:val="00F724FB"/>
    <w:rsid w:val="00F726B8"/>
    <w:rsid w:val="00F72A26"/>
    <w:rsid w:val="00F733C3"/>
    <w:rsid w:val="00F746A1"/>
    <w:rsid w:val="00F756DD"/>
    <w:rsid w:val="00F77F4E"/>
    <w:rsid w:val="00F80047"/>
    <w:rsid w:val="00F800C7"/>
    <w:rsid w:val="00F8104D"/>
    <w:rsid w:val="00F81587"/>
    <w:rsid w:val="00F8288F"/>
    <w:rsid w:val="00F84802"/>
    <w:rsid w:val="00F85B72"/>
    <w:rsid w:val="00F86540"/>
    <w:rsid w:val="00F865CE"/>
    <w:rsid w:val="00F8766F"/>
    <w:rsid w:val="00F91082"/>
    <w:rsid w:val="00F9116D"/>
    <w:rsid w:val="00F91A9A"/>
    <w:rsid w:val="00F93ABB"/>
    <w:rsid w:val="00F94A2F"/>
    <w:rsid w:val="00F94D79"/>
    <w:rsid w:val="00F9658C"/>
    <w:rsid w:val="00F97A7F"/>
    <w:rsid w:val="00FA0889"/>
    <w:rsid w:val="00FA16E7"/>
    <w:rsid w:val="00FA31C7"/>
    <w:rsid w:val="00FA472D"/>
    <w:rsid w:val="00FA7AD3"/>
    <w:rsid w:val="00FB0CBF"/>
    <w:rsid w:val="00FB18F6"/>
    <w:rsid w:val="00FB2A52"/>
    <w:rsid w:val="00FB3F92"/>
    <w:rsid w:val="00FB52C7"/>
    <w:rsid w:val="00FB57DC"/>
    <w:rsid w:val="00FB6E19"/>
    <w:rsid w:val="00FB71F6"/>
    <w:rsid w:val="00FC0AF8"/>
    <w:rsid w:val="00FC1483"/>
    <w:rsid w:val="00FC1C47"/>
    <w:rsid w:val="00FC3102"/>
    <w:rsid w:val="00FC39ED"/>
    <w:rsid w:val="00FC4419"/>
    <w:rsid w:val="00FC47E2"/>
    <w:rsid w:val="00FC4AA5"/>
    <w:rsid w:val="00FC4B88"/>
    <w:rsid w:val="00FC4BB8"/>
    <w:rsid w:val="00FC5148"/>
    <w:rsid w:val="00FC6524"/>
    <w:rsid w:val="00FC75AC"/>
    <w:rsid w:val="00FD01BF"/>
    <w:rsid w:val="00FD0522"/>
    <w:rsid w:val="00FD0525"/>
    <w:rsid w:val="00FD0AB7"/>
    <w:rsid w:val="00FD297D"/>
    <w:rsid w:val="00FD2D13"/>
    <w:rsid w:val="00FD374D"/>
    <w:rsid w:val="00FD6071"/>
    <w:rsid w:val="00FD633B"/>
    <w:rsid w:val="00FD6648"/>
    <w:rsid w:val="00FE0794"/>
    <w:rsid w:val="00FE1041"/>
    <w:rsid w:val="00FE24CB"/>
    <w:rsid w:val="00FE323F"/>
    <w:rsid w:val="00FE3473"/>
    <w:rsid w:val="00FE4049"/>
    <w:rsid w:val="00FE4794"/>
    <w:rsid w:val="00FE480F"/>
    <w:rsid w:val="00FE4998"/>
    <w:rsid w:val="00FE57DE"/>
    <w:rsid w:val="00FE7A68"/>
    <w:rsid w:val="00FF0231"/>
    <w:rsid w:val="00FF1C9B"/>
    <w:rsid w:val="00FF1D49"/>
    <w:rsid w:val="00FF203B"/>
    <w:rsid w:val="00FF2562"/>
    <w:rsid w:val="00FF2980"/>
    <w:rsid w:val="00FF3A41"/>
    <w:rsid w:val="00FF3E5B"/>
    <w:rsid w:val="00FF57E4"/>
    <w:rsid w:val="00FF78E5"/>
    <w:rsid w:val="011F1764"/>
    <w:rsid w:val="01357170"/>
    <w:rsid w:val="01734A85"/>
    <w:rsid w:val="01833C12"/>
    <w:rsid w:val="01AA7969"/>
    <w:rsid w:val="01AF3D99"/>
    <w:rsid w:val="01B20134"/>
    <w:rsid w:val="01C04E49"/>
    <w:rsid w:val="01D06CCD"/>
    <w:rsid w:val="01E15957"/>
    <w:rsid w:val="01EF5CED"/>
    <w:rsid w:val="02145195"/>
    <w:rsid w:val="02435EFF"/>
    <w:rsid w:val="02511F9D"/>
    <w:rsid w:val="025D44CF"/>
    <w:rsid w:val="02A652DA"/>
    <w:rsid w:val="02B8729D"/>
    <w:rsid w:val="02D45789"/>
    <w:rsid w:val="02DF4A20"/>
    <w:rsid w:val="02DF57A3"/>
    <w:rsid w:val="0318312B"/>
    <w:rsid w:val="037A74D0"/>
    <w:rsid w:val="039A34DF"/>
    <w:rsid w:val="03A314B8"/>
    <w:rsid w:val="03D82B98"/>
    <w:rsid w:val="03F83E8B"/>
    <w:rsid w:val="045764E2"/>
    <w:rsid w:val="0478488D"/>
    <w:rsid w:val="049006D3"/>
    <w:rsid w:val="04D500E5"/>
    <w:rsid w:val="0507089D"/>
    <w:rsid w:val="050E3F58"/>
    <w:rsid w:val="05296676"/>
    <w:rsid w:val="05350653"/>
    <w:rsid w:val="05511549"/>
    <w:rsid w:val="05895081"/>
    <w:rsid w:val="058A4FCC"/>
    <w:rsid w:val="05912EB2"/>
    <w:rsid w:val="05C56868"/>
    <w:rsid w:val="06D65C54"/>
    <w:rsid w:val="072635D1"/>
    <w:rsid w:val="07283BBC"/>
    <w:rsid w:val="072945A7"/>
    <w:rsid w:val="074F652C"/>
    <w:rsid w:val="075F4817"/>
    <w:rsid w:val="07677852"/>
    <w:rsid w:val="077C4C7B"/>
    <w:rsid w:val="07B72767"/>
    <w:rsid w:val="08033F41"/>
    <w:rsid w:val="08077E72"/>
    <w:rsid w:val="082920CA"/>
    <w:rsid w:val="08336CEF"/>
    <w:rsid w:val="085602B5"/>
    <w:rsid w:val="08882DD0"/>
    <w:rsid w:val="089E2B99"/>
    <w:rsid w:val="09050131"/>
    <w:rsid w:val="0919607C"/>
    <w:rsid w:val="09196D54"/>
    <w:rsid w:val="09300724"/>
    <w:rsid w:val="0959014C"/>
    <w:rsid w:val="0990401D"/>
    <w:rsid w:val="09A42FA0"/>
    <w:rsid w:val="09A961DC"/>
    <w:rsid w:val="09AE49AB"/>
    <w:rsid w:val="09CC2AAC"/>
    <w:rsid w:val="09E33DCA"/>
    <w:rsid w:val="09EB0ED1"/>
    <w:rsid w:val="09EE0837"/>
    <w:rsid w:val="09FF4CD7"/>
    <w:rsid w:val="0A303B0A"/>
    <w:rsid w:val="0A454AE5"/>
    <w:rsid w:val="0A652D3E"/>
    <w:rsid w:val="0AA86FF7"/>
    <w:rsid w:val="0AB063A2"/>
    <w:rsid w:val="0AB33B33"/>
    <w:rsid w:val="0AE3690B"/>
    <w:rsid w:val="0AEA4301"/>
    <w:rsid w:val="0B016D2D"/>
    <w:rsid w:val="0B2B4328"/>
    <w:rsid w:val="0B326F2A"/>
    <w:rsid w:val="0B8674D4"/>
    <w:rsid w:val="0BFCED10"/>
    <w:rsid w:val="0C062B3B"/>
    <w:rsid w:val="0C1E2888"/>
    <w:rsid w:val="0C2453FD"/>
    <w:rsid w:val="0C3312A2"/>
    <w:rsid w:val="0C6259D0"/>
    <w:rsid w:val="0C8823F9"/>
    <w:rsid w:val="0C92213C"/>
    <w:rsid w:val="0CD57DCC"/>
    <w:rsid w:val="0CF047AC"/>
    <w:rsid w:val="0D5C4F70"/>
    <w:rsid w:val="0D84032B"/>
    <w:rsid w:val="0D921151"/>
    <w:rsid w:val="0DB8294B"/>
    <w:rsid w:val="0E7E7420"/>
    <w:rsid w:val="0E9A163E"/>
    <w:rsid w:val="0EC3241C"/>
    <w:rsid w:val="0EC51D2F"/>
    <w:rsid w:val="0F15191B"/>
    <w:rsid w:val="0F2A74C4"/>
    <w:rsid w:val="0F486F97"/>
    <w:rsid w:val="0F61543D"/>
    <w:rsid w:val="0F6A2898"/>
    <w:rsid w:val="0FC1557E"/>
    <w:rsid w:val="105D429C"/>
    <w:rsid w:val="10A23253"/>
    <w:rsid w:val="10A27F31"/>
    <w:rsid w:val="10DD25DA"/>
    <w:rsid w:val="10E511C7"/>
    <w:rsid w:val="10F51D5F"/>
    <w:rsid w:val="1102753E"/>
    <w:rsid w:val="1118109F"/>
    <w:rsid w:val="116328EB"/>
    <w:rsid w:val="11927058"/>
    <w:rsid w:val="11BF0074"/>
    <w:rsid w:val="12031D6F"/>
    <w:rsid w:val="12180F28"/>
    <w:rsid w:val="124874C0"/>
    <w:rsid w:val="12835278"/>
    <w:rsid w:val="12EC1F42"/>
    <w:rsid w:val="13265EF9"/>
    <w:rsid w:val="13760102"/>
    <w:rsid w:val="137F5677"/>
    <w:rsid w:val="13AF4F03"/>
    <w:rsid w:val="13E47DE3"/>
    <w:rsid w:val="13F82B68"/>
    <w:rsid w:val="1426270C"/>
    <w:rsid w:val="143D340C"/>
    <w:rsid w:val="143F36FA"/>
    <w:rsid w:val="14551F66"/>
    <w:rsid w:val="14726644"/>
    <w:rsid w:val="14736E66"/>
    <w:rsid w:val="147F458F"/>
    <w:rsid w:val="148C6E8F"/>
    <w:rsid w:val="14935DC1"/>
    <w:rsid w:val="14BB23AA"/>
    <w:rsid w:val="14D3138D"/>
    <w:rsid w:val="14DC6850"/>
    <w:rsid w:val="14E270D4"/>
    <w:rsid w:val="14F55AB2"/>
    <w:rsid w:val="150D2643"/>
    <w:rsid w:val="1534169A"/>
    <w:rsid w:val="153667BD"/>
    <w:rsid w:val="15600074"/>
    <w:rsid w:val="156A0F68"/>
    <w:rsid w:val="15783702"/>
    <w:rsid w:val="15AA3DBF"/>
    <w:rsid w:val="15C03E03"/>
    <w:rsid w:val="15D60816"/>
    <w:rsid w:val="15F97B39"/>
    <w:rsid w:val="15FC7E85"/>
    <w:rsid w:val="162A25EB"/>
    <w:rsid w:val="16B014D8"/>
    <w:rsid w:val="16FD2A55"/>
    <w:rsid w:val="17067C1A"/>
    <w:rsid w:val="17366761"/>
    <w:rsid w:val="177C01F0"/>
    <w:rsid w:val="178F4B88"/>
    <w:rsid w:val="17B853C8"/>
    <w:rsid w:val="17C87FA5"/>
    <w:rsid w:val="17CE6630"/>
    <w:rsid w:val="17FB28F4"/>
    <w:rsid w:val="180A4C18"/>
    <w:rsid w:val="1832190B"/>
    <w:rsid w:val="183B4E1B"/>
    <w:rsid w:val="1853036D"/>
    <w:rsid w:val="186D40DA"/>
    <w:rsid w:val="187954C8"/>
    <w:rsid w:val="18B37CB8"/>
    <w:rsid w:val="18B57797"/>
    <w:rsid w:val="18EB7621"/>
    <w:rsid w:val="19073FEB"/>
    <w:rsid w:val="193E101D"/>
    <w:rsid w:val="19505DBE"/>
    <w:rsid w:val="19C7086C"/>
    <w:rsid w:val="19D6EDAB"/>
    <w:rsid w:val="1A097EF1"/>
    <w:rsid w:val="1A6C7B4D"/>
    <w:rsid w:val="1A7E0F1B"/>
    <w:rsid w:val="1AAC440B"/>
    <w:rsid w:val="1AD556B8"/>
    <w:rsid w:val="1AE23DE2"/>
    <w:rsid w:val="1AFF0AFE"/>
    <w:rsid w:val="1B0C2958"/>
    <w:rsid w:val="1B124510"/>
    <w:rsid w:val="1B4F19F8"/>
    <w:rsid w:val="1B5C0B99"/>
    <w:rsid w:val="1B5E2F41"/>
    <w:rsid w:val="1B8A3668"/>
    <w:rsid w:val="1BA03BA5"/>
    <w:rsid w:val="1BB04B81"/>
    <w:rsid w:val="1BC670A8"/>
    <w:rsid w:val="1BE55050"/>
    <w:rsid w:val="1C76287C"/>
    <w:rsid w:val="1CAA5FB4"/>
    <w:rsid w:val="1CD344FB"/>
    <w:rsid w:val="1CF73B92"/>
    <w:rsid w:val="1D1D7DC6"/>
    <w:rsid w:val="1D28626C"/>
    <w:rsid w:val="1D3164C9"/>
    <w:rsid w:val="1D6B6033"/>
    <w:rsid w:val="1D794807"/>
    <w:rsid w:val="1D836658"/>
    <w:rsid w:val="1D943894"/>
    <w:rsid w:val="1DA91703"/>
    <w:rsid w:val="1DB06C75"/>
    <w:rsid w:val="1DE300AB"/>
    <w:rsid w:val="1E0D22B8"/>
    <w:rsid w:val="1E1A2E24"/>
    <w:rsid w:val="1E575CFF"/>
    <w:rsid w:val="1E787ED1"/>
    <w:rsid w:val="1E7F7609"/>
    <w:rsid w:val="1E9015D4"/>
    <w:rsid w:val="1ECC44FA"/>
    <w:rsid w:val="1EF03DF9"/>
    <w:rsid w:val="1EFF27E9"/>
    <w:rsid w:val="1F063325"/>
    <w:rsid w:val="1F236595"/>
    <w:rsid w:val="1F3A05E1"/>
    <w:rsid w:val="1F4B4494"/>
    <w:rsid w:val="1F9E2C4F"/>
    <w:rsid w:val="1FBC5DF5"/>
    <w:rsid w:val="1FED30EF"/>
    <w:rsid w:val="1FFF8356"/>
    <w:rsid w:val="20323DDD"/>
    <w:rsid w:val="20370112"/>
    <w:rsid w:val="20594619"/>
    <w:rsid w:val="20C3623F"/>
    <w:rsid w:val="20CD40CE"/>
    <w:rsid w:val="20E00F03"/>
    <w:rsid w:val="210367B5"/>
    <w:rsid w:val="21134E81"/>
    <w:rsid w:val="213A5FD8"/>
    <w:rsid w:val="215B2453"/>
    <w:rsid w:val="21781212"/>
    <w:rsid w:val="219D2795"/>
    <w:rsid w:val="21AE63E6"/>
    <w:rsid w:val="21B83F86"/>
    <w:rsid w:val="221178A8"/>
    <w:rsid w:val="221213CF"/>
    <w:rsid w:val="22327A92"/>
    <w:rsid w:val="225F3EEC"/>
    <w:rsid w:val="227B6FBB"/>
    <w:rsid w:val="227E42D1"/>
    <w:rsid w:val="22B10157"/>
    <w:rsid w:val="22F42346"/>
    <w:rsid w:val="230C4CC3"/>
    <w:rsid w:val="231D53A2"/>
    <w:rsid w:val="23261B35"/>
    <w:rsid w:val="23571DCD"/>
    <w:rsid w:val="23665FA4"/>
    <w:rsid w:val="236D5383"/>
    <w:rsid w:val="23B7504C"/>
    <w:rsid w:val="23FE09AB"/>
    <w:rsid w:val="24366196"/>
    <w:rsid w:val="24571307"/>
    <w:rsid w:val="247D7C61"/>
    <w:rsid w:val="24CF6FCD"/>
    <w:rsid w:val="24D36867"/>
    <w:rsid w:val="24E937A8"/>
    <w:rsid w:val="24F16C41"/>
    <w:rsid w:val="25010FE6"/>
    <w:rsid w:val="25110A2A"/>
    <w:rsid w:val="256C0944"/>
    <w:rsid w:val="261D72A9"/>
    <w:rsid w:val="262B0778"/>
    <w:rsid w:val="264163E8"/>
    <w:rsid w:val="26446DE3"/>
    <w:rsid w:val="26714823"/>
    <w:rsid w:val="269669E7"/>
    <w:rsid w:val="26A27A1A"/>
    <w:rsid w:val="26BB1513"/>
    <w:rsid w:val="26BE1E11"/>
    <w:rsid w:val="26D7699F"/>
    <w:rsid w:val="26F86DBB"/>
    <w:rsid w:val="274719E5"/>
    <w:rsid w:val="277D5D57"/>
    <w:rsid w:val="2786406A"/>
    <w:rsid w:val="279175D0"/>
    <w:rsid w:val="27BC15A2"/>
    <w:rsid w:val="2833789C"/>
    <w:rsid w:val="2868432A"/>
    <w:rsid w:val="287D2CDB"/>
    <w:rsid w:val="289522DC"/>
    <w:rsid w:val="291122AA"/>
    <w:rsid w:val="296D47C4"/>
    <w:rsid w:val="299F6A91"/>
    <w:rsid w:val="29F94348"/>
    <w:rsid w:val="2A0E67EA"/>
    <w:rsid w:val="2A352ED8"/>
    <w:rsid w:val="2A7602F3"/>
    <w:rsid w:val="2A905451"/>
    <w:rsid w:val="2AA426BF"/>
    <w:rsid w:val="2ABF3C54"/>
    <w:rsid w:val="2AD50669"/>
    <w:rsid w:val="2AE9690F"/>
    <w:rsid w:val="2AFC75A9"/>
    <w:rsid w:val="2B0C2AC5"/>
    <w:rsid w:val="2B5924F3"/>
    <w:rsid w:val="2B63695B"/>
    <w:rsid w:val="2B6D7540"/>
    <w:rsid w:val="2B736B20"/>
    <w:rsid w:val="2B774624"/>
    <w:rsid w:val="2B833631"/>
    <w:rsid w:val="2BA26484"/>
    <w:rsid w:val="2BAC4E9F"/>
    <w:rsid w:val="2BCC24B9"/>
    <w:rsid w:val="2BCF47C1"/>
    <w:rsid w:val="2BFE2CAE"/>
    <w:rsid w:val="2C624BCB"/>
    <w:rsid w:val="2C7A4E16"/>
    <w:rsid w:val="2C7A72BE"/>
    <w:rsid w:val="2C9A7D75"/>
    <w:rsid w:val="2CD90F2C"/>
    <w:rsid w:val="2D134980"/>
    <w:rsid w:val="2D17330A"/>
    <w:rsid w:val="2D27EA89"/>
    <w:rsid w:val="2D406CBA"/>
    <w:rsid w:val="2D56061D"/>
    <w:rsid w:val="2DA54A5F"/>
    <w:rsid w:val="2DB07448"/>
    <w:rsid w:val="2DB32492"/>
    <w:rsid w:val="2DBF0155"/>
    <w:rsid w:val="2DDB4C35"/>
    <w:rsid w:val="2DF632D7"/>
    <w:rsid w:val="2DF87EA5"/>
    <w:rsid w:val="2E3E6C8D"/>
    <w:rsid w:val="2E4F61BD"/>
    <w:rsid w:val="2E517468"/>
    <w:rsid w:val="2E523FAF"/>
    <w:rsid w:val="2E9976CE"/>
    <w:rsid w:val="2EAA22D0"/>
    <w:rsid w:val="2EAC470B"/>
    <w:rsid w:val="2EB664FB"/>
    <w:rsid w:val="2EC71847"/>
    <w:rsid w:val="2ED257A0"/>
    <w:rsid w:val="2F401D3C"/>
    <w:rsid w:val="2F57478F"/>
    <w:rsid w:val="2F5B24E1"/>
    <w:rsid w:val="2F6D9300"/>
    <w:rsid w:val="2F812748"/>
    <w:rsid w:val="2F8D5EBA"/>
    <w:rsid w:val="2FA95C88"/>
    <w:rsid w:val="2FC54C14"/>
    <w:rsid w:val="2FCC2A87"/>
    <w:rsid w:val="2FE7E6BA"/>
    <w:rsid w:val="2FFF1452"/>
    <w:rsid w:val="3041370F"/>
    <w:rsid w:val="304153B7"/>
    <w:rsid w:val="30E17054"/>
    <w:rsid w:val="310759E4"/>
    <w:rsid w:val="311636D7"/>
    <w:rsid w:val="31171416"/>
    <w:rsid w:val="312B50A3"/>
    <w:rsid w:val="31966FCB"/>
    <w:rsid w:val="319B272A"/>
    <w:rsid w:val="31C21E85"/>
    <w:rsid w:val="31FD196A"/>
    <w:rsid w:val="32110C25"/>
    <w:rsid w:val="321E3342"/>
    <w:rsid w:val="32453A27"/>
    <w:rsid w:val="3263064A"/>
    <w:rsid w:val="32A43132"/>
    <w:rsid w:val="32AC0C06"/>
    <w:rsid w:val="32C80DB0"/>
    <w:rsid w:val="32D16E16"/>
    <w:rsid w:val="32F907E7"/>
    <w:rsid w:val="32FA6E7F"/>
    <w:rsid w:val="33212F32"/>
    <w:rsid w:val="33344EF5"/>
    <w:rsid w:val="33435756"/>
    <w:rsid w:val="337551E4"/>
    <w:rsid w:val="338B5B71"/>
    <w:rsid w:val="338F44F8"/>
    <w:rsid w:val="338F5034"/>
    <w:rsid w:val="339C62D3"/>
    <w:rsid w:val="33A95060"/>
    <w:rsid w:val="33C2445A"/>
    <w:rsid w:val="33C30645"/>
    <w:rsid w:val="33D463AE"/>
    <w:rsid w:val="33EB2F66"/>
    <w:rsid w:val="33F122A1"/>
    <w:rsid w:val="33FF667D"/>
    <w:rsid w:val="341878A5"/>
    <w:rsid w:val="343202E0"/>
    <w:rsid w:val="3454410E"/>
    <w:rsid w:val="34676FD2"/>
    <w:rsid w:val="3499071A"/>
    <w:rsid w:val="3537750C"/>
    <w:rsid w:val="3537798C"/>
    <w:rsid w:val="354B615E"/>
    <w:rsid w:val="3571617A"/>
    <w:rsid w:val="35BA42E8"/>
    <w:rsid w:val="35C13FC9"/>
    <w:rsid w:val="363B5549"/>
    <w:rsid w:val="364257B6"/>
    <w:rsid w:val="37032D3B"/>
    <w:rsid w:val="371B6066"/>
    <w:rsid w:val="377AA392"/>
    <w:rsid w:val="378D6FA0"/>
    <w:rsid w:val="37BF77AF"/>
    <w:rsid w:val="37D81F57"/>
    <w:rsid w:val="37D83F93"/>
    <w:rsid w:val="37E77E3B"/>
    <w:rsid w:val="37EA5922"/>
    <w:rsid w:val="37F7B81E"/>
    <w:rsid w:val="37FC7801"/>
    <w:rsid w:val="3800385C"/>
    <w:rsid w:val="38276B93"/>
    <w:rsid w:val="384A30E3"/>
    <w:rsid w:val="38514FC4"/>
    <w:rsid w:val="38AC3431"/>
    <w:rsid w:val="38C45CBB"/>
    <w:rsid w:val="391C6A1A"/>
    <w:rsid w:val="392758B9"/>
    <w:rsid w:val="392F2E16"/>
    <w:rsid w:val="393022F6"/>
    <w:rsid w:val="39B34CD2"/>
    <w:rsid w:val="39E00529"/>
    <w:rsid w:val="3A0B64A7"/>
    <w:rsid w:val="3A0D76D5"/>
    <w:rsid w:val="3A143486"/>
    <w:rsid w:val="3A1E15B1"/>
    <w:rsid w:val="3A2501D3"/>
    <w:rsid w:val="3A375196"/>
    <w:rsid w:val="3A574DDA"/>
    <w:rsid w:val="3A5A3E7F"/>
    <w:rsid w:val="3AD3075A"/>
    <w:rsid w:val="3ADA6DEA"/>
    <w:rsid w:val="3AED5EBC"/>
    <w:rsid w:val="3AF74C02"/>
    <w:rsid w:val="3B184A62"/>
    <w:rsid w:val="3B345FE9"/>
    <w:rsid w:val="3B4275AB"/>
    <w:rsid w:val="3B675E84"/>
    <w:rsid w:val="3B6A5CB8"/>
    <w:rsid w:val="3B851344"/>
    <w:rsid w:val="3BA30473"/>
    <w:rsid w:val="3BB55444"/>
    <w:rsid w:val="3BBC50FA"/>
    <w:rsid w:val="3BDA40F9"/>
    <w:rsid w:val="3BDFE8A7"/>
    <w:rsid w:val="3BEEAAC7"/>
    <w:rsid w:val="3BFCC3B2"/>
    <w:rsid w:val="3C0059A5"/>
    <w:rsid w:val="3C134E78"/>
    <w:rsid w:val="3C417498"/>
    <w:rsid w:val="3C572D7C"/>
    <w:rsid w:val="3C95172A"/>
    <w:rsid w:val="3CA628B2"/>
    <w:rsid w:val="3CCFF040"/>
    <w:rsid w:val="3CE138EA"/>
    <w:rsid w:val="3CE47A04"/>
    <w:rsid w:val="3D3B749E"/>
    <w:rsid w:val="3D3F03C9"/>
    <w:rsid w:val="3D5A1A2B"/>
    <w:rsid w:val="3D9E3AC0"/>
    <w:rsid w:val="3DBD2F5B"/>
    <w:rsid w:val="3DD748B5"/>
    <w:rsid w:val="3DF6345D"/>
    <w:rsid w:val="3DFE8AB6"/>
    <w:rsid w:val="3E135D25"/>
    <w:rsid w:val="3E3DDCD1"/>
    <w:rsid w:val="3E467B86"/>
    <w:rsid w:val="3E4D4F28"/>
    <w:rsid w:val="3E751D2C"/>
    <w:rsid w:val="3E870A1D"/>
    <w:rsid w:val="3EC279B3"/>
    <w:rsid w:val="3EE13701"/>
    <w:rsid w:val="3EEF4053"/>
    <w:rsid w:val="3EF676B8"/>
    <w:rsid w:val="3EFB8B10"/>
    <w:rsid w:val="3EFF29D0"/>
    <w:rsid w:val="3F1A4BB3"/>
    <w:rsid w:val="3F3F7AFB"/>
    <w:rsid w:val="3F5D0346"/>
    <w:rsid w:val="3F6C1342"/>
    <w:rsid w:val="3F7B2126"/>
    <w:rsid w:val="3FBD2267"/>
    <w:rsid w:val="3FCA243B"/>
    <w:rsid w:val="3FE9A0A8"/>
    <w:rsid w:val="3FF9303F"/>
    <w:rsid w:val="3FFE4076"/>
    <w:rsid w:val="40192BA6"/>
    <w:rsid w:val="404B12B2"/>
    <w:rsid w:val="40874C93"/>
    <w:rsid w:val="40950B70"/>
    <w:rsid w:val="40956EC5"/>
    <w:rsid w:val="40C053AB"/>
    <w:rsid w:val="40F93E92"/>
    <w:rsid w:val="41AA51DA"/>
    <w:rsid w:val="41BF1AB4"/>
    <w:rsid w:val="420E121B"/>
    <w:rsid w:val="421B1721"/>
    <w:rsid w:val="42550A18"/>
    <w:rsid w:val="42925A0D"/>
    <w:rsid w:val="429D496A"/>
    <w:rsid w:val="42B83994"/>
    <w:rsid w:val="42F473A1"/>
    <w:rsid w:val="430026ED"/>
    <w:rsid w:val="43486471"/>
    <w:rsid w:val="435C016E"/>
    <w:rsid w:val="43AD1BA4"/>
    <w:rsid w:val="43B650CE"/>
    <w:rsid w:val="43C8430A"/>
    <w:rsid w:val="43E048FB"/>
    <w:rsid w:val="43E3335A"/>
    <w:rsid w:val="43F57CB6"/>
    <w:rsid w:val="441E62C0"/>
    <w:rsid w:val="443F7874"/>
    <w:rsid w:val="44730CB4"/>
    <w:rsid w:val="4484172B"/>
    <w:rsid w:val="44B14C17"/>
    <w:rsid w:val="44CE0BF8"/>
    <w:rsid w:val="44DC1567"/>
    <w:rsid w:val="45325D14"/>
    <w:rsid w:val="454D4212"/>
    <w:rsid w:val="45811C7C"/>
    <w:rsid w:val="45862C1D"/>
    <w:rsid w:val="45AB67C5"/>
    <w:rsid w:val="46071372"/>
    <w:rsid w:val="466E1959"/>
    <w:rsid w:val="468B3EFB"/>
    <w:rsid w:val="46993502"/>
    <w:rsid w:val="46BA4F86"/>
    <w:rsid w:val="46D71FE6"/>
    <w:rsid w:val="46E9BB1F"/>
    <w:rsid w:val="470A6193"/>
    <w:rsid w:val="472E3EA9"/>
    <w:rsid w:val="47385210"/>
    <w:rsid w:val="47573C81"/>
    <w:rsid w:val="47DC4F5C"/>
    <w:rsid w:val="47FD1D5A"/>
    <w:rsid w:val="480A4C69"/>
    <w:rsid w:val="48210C25"/>
    <w:rsid w:val="48564EFB"/>
    <w:rsid w:val="48636E37"/>
    <w:rsid w:val="48701C33"/>
    <w:rsid w:val="489A151D"/>
    <w:rsid w:val="48B40671"/>
    <w:rsid w:val="48BF228B"/>
    <w:rsid w:val="493354CD"/>
    <w:rsid w:val="494D658F"/>
    <w:rsid w:val="49503C55"/>
    <w:rsid w:val="495105E0"/>
    <w:rsid w:val="49545D37"/>
    <w:rsid w:val="499B5738"/>
    <w:rsid w:val="499F244D"/>
    <w:rsid w:val="49B15246"/>
    <w:rsid w:val="49F17B45"/>
    <w:rsid w:val="49FE1D52"/>
    <w:rsid w:val="4A973F3F"/>
    <w:rsid w:val="4ACB64EA"/>
    <w:rsid w:val="4AD57F59"/>
    <w:rsid w:val="4AE26DFA"/>
    <w:rsid w:val="4AE6171C"/>
    <w:rsid w:val="4AF96BC7"/>
    <w:rsid w:val="4B28528F"/>
    <w:rsid w:val="4B37089D"/>
    <w:rsid w:val="4B425E9C"/>
    <w:rsid w:val="4B862A85"/>
    <w:rsid w:val="4BFC24EE"/>
    <w:rsid w:val="4C197771"/>
    <w:rsid w:val="4C2359FE"/>
    <w:rsid w:val="4C255E7D"/>
    <w:rsid w:val="4C3E7B6C"/>
    <w:rsid w:val="4CEF36E2"/>
    <w:rsid w:val="4CEF4DC5"/>
    <w:rsid w:val="4D043A28"/>
    <w:rsid w:val="4D3D691B"/>
    <w:rsid w:val="4DA55299"/>
    <w:rsid w:val="4DBD6052"/>
    <w:rsid w:val="4E257655"/>
    <w:rsid w:val="4E5A39E3"/>
    <w:rsid w:val="4E6855C9"/>
    <w:rsid w:val="4ECB91C3"/>
    <w:rsid w:val="4F372380"/>
    <w:rsid w:val="4F372FFB"/>
    <w:rsid w:val="4F810C93"/>
    <w:rsid w:val="4FA233AD"/>
    <w:rsid w:val="4FA853BA"/>
    <w:rsid w:val="50302893"/>
    <w:rsid w:val="506125EF"/>
    <w:rsid w:val="50612B13"/>
    <w:rsid w:val="506A6D98"/>
    <w:rsid w:val="50B65181"/>
    <w:rsid w:val="50BA32B7"/>
    <w:rsid w:val="50F934A0"/>
    <w:rsid w:val="50F93ADE"/>
    <w:rsid w:val="50FD7104"/>
    <w:rsid w:val="50FE6E02"/>
    <w:rsid w:val="51241F51"/>
    <w:rsid w:val="51254295"/>
    <w:rsid w:val="51474B0C"/>
    <w:rsid w:val="51C31323"/>
    <w:rsid w:val="51EC1F64"/>
    <w:rsid w:val="520B7EC7"/>
    <w:rsid w:val="52395ECD"/>
    <w:rsid w:val="523A6DEA"/>
    <w:rsid w:val="524417E9"/>
    <w:rsid w:val="52524B37"/>
    <w:rsid w:val="52A04011"/>
    <w:rsid w:val="52C10D75"/>
    <w:rsid w:val="52FC2DD4"/>
    <w:rsid w:val="53327D1A"/>
    <w:rsid w:val="53581187"/>
    <w:rsid w:val="5359222A"/>
    <w:rsid w:val="535C417D"/>
    <w:rsid w:val="537473B3"/>
    <w:rsid w:val="537FADE1"/>
    <w:rsid w:val="53AB3636"/>
    <w:rsid w:val="53C27FF8"/>
    <w:rsid w:val="540D5B19"/>
    <w:rsid w:val="54164B00"/>
    <w:rsid w:val="542D4AFC"/>
    <w:rsid w:val="542F58A3"/>
    <w:rsid w:val="54425D59"/>
    <w:rsid w:val="549E1A80"/>
    <w:rsid w:val="54A77BC6"/>
    <w:rsid w:val="54C658F4"/>
    <w:rsid w:val="54CC25CD"/>
    <w:rsid w:val="550C4BD7"/>
    <w:rsid w:val="553A5BCD"/>
    <w:rsid w:val="554C1D56"/>
    <w:rsid w:val="55572986"/>
    <w:rsid w:val="55DD0E36"/>
    <w:rsid w:val="55EDAAC3"/>
    <w:rsid w:val="55F01DF6"/>
    <w:rsid w:val="55F6F84E"/>
    <w:rsid w:val="55FD6B24"/>
    <w:rsid w:val="565340FA"/>
    <w:rsid w:val="567E14A9"/>
    <w:rsid w:val="568A71BE"/>
    <w:rsid w:val="56923F39"/>
    <w:rsid w:val="56D26665"/>
    <w:rsid w:val="56E32E41"/>
    <w:rsid w:val="56FA12E8"/>
    <w:rsid w:val="570B6C5C"/>
    <w:rsid w:val="5774524E"/>
    <w:rsid w:val="577FE129"/>
    <w:rsid w:val="5785488B"/>
    <w:rsid w:val="579F1C3D"/>
    <w:rsid w:val="579F6787"/>
    <w:rsid w:val="580F5357"/>
    <w:rsid w:val="58775155"/>
    <w:rsid w:val="589A0B5A"/>
    <w:rsid w:val="58AD59AC"/>
    <w:rsid w:val="58B02697"/>
    <w:rsid w:val="58C8623C"/>
    <w:rsid w:val="590E1A20"/>
    <w:rsid w:val="59441031"/>
    <w:rsid w:val="59573F9A"/>
    <w:rsid w:val="59632531"/>
    <w:rsid w:val="599F6F54"/>
    <w:rsid w:val="59B44408"/>
    <w:rsid w:val="59B60181"/>
    <w:rsid w:val="59F80B8F"/>
    <w:rsid w:val="5A2F2CC8"/>
    <w:rsid w:val="5A467C6D"/>
    <w:rsid w:val="5A907165"/>
    <w:rsid w:val="5AF65035"/>
    <w:rsid w:val="5AF95AB0"/>
    <w:rsid w:val="5B2E059E"/>
    <w:rsid w:val="5B4A41A9"/>
    <w:rsid w:val="5B525C87"/>
    <w:rsid w:val="5B54680A"/>
    <w:rsid w:val="5B5FF7C5"/>
    <w:rsid w:val="5B953DF3"/>
    <w:rsid w:val="5BC36056"/>
    <w:rsid w:val="5BC47CE6"/>
    <w:rsid w:val="5BD37754"/>
    <w:rsid w:val="5BED09CE"/>
    <w:rsid w:val="5BEF8730"/>
    <w:rsid w:val="5BF4CC36"/>
    <w:rsid w:val="5BFF59B9"/>
    <w:rsid w:val="5C10702D"/>
    <w:rsid w:val="5C152601"/>
    <w:rsid w:val="5C1A052C"/>
    <w:rsid w:val="5C8A1B2F"/>
    <w:rsid w:val="5C9E75A7"/>
    <w:rsid w:val="5E3309B9"/>
    <w:rsid w:val="5E5301A6"/>
    <w:rsid w:val="5E5C1A0A"/>
    <w:rsid w:val="5E7B1D0F"/>
    <w:rsid w:val="5E7F4FE5"/>
    <w:rsid w:val="5E9345EC"/>
    <w:rsid w:val="5EDA7472"/>
    <w:rsid w:val="5F2160DA"/>
    <w:rsid w:val="5FC939B5"/>
    <w:rsid w:val="5FDF6CF9"/>
    <w:rsid w:val="5FEE09BD"/>
    <w:rsid w:val="5FEFBF95"/>
    <w:rsid w:val="5FFB9A75"/>
    <w:rsid w:val="5FFF43F9"/>
    <w:rsid w:val="5FFFC490"/>
    <w:rsid w:val="606007BB"/>
    <w:rsid w:val="608B0143"/>
    <w:rsid w:val="608B11A1"/>
    <w:rsid w:val="609E336B"/>
    <w:rsid w:val="60AC7F66"/>
    <w:rsid w:val="60BB3941"/>
    <w:rsid w:val="60D24339"/>
    <w:rsid w:val="60EF1729"/>
    <w:rsid w:val="61041734"/>
    <w:rsid w:val="61662069"/>
    <w:rsid w:val="61B2122D"/>
    <w:rsid w:val="61BF10D9"/>
    <w:rsid w:val="61E37231"/>
    <w:rsid w:val="61E53702"/>
    <w:rsid w:val="61FC4B9F"/>
    <w:rsid w:val="62122D8C"/>
    <w:rsid w:val="628E21D3"/>
    <w:rsid w:val="62AC22DC"/>
    <w:rsid w:val="62DD6FA5"/>
    <w:rsid w:val="62EC67A4"/>
    <w:rsid w:val="630839F8"/>
    <w:rsid w:val="631C7B79"/>
    <w:rsid w:val="631D047A"/>
    <w:rsid w:val="63971C5A"/>
    <w:rsid w:val="63C22794"/>
    <w:rsid w:val="63FE4BFE"/>
    <w:rsid w:val="64747FE8"/>
    <w:rsid w:val="64A44191"/>
    <w:rsid w:val="64C538F8"/>
    <w:rsid w:val="64D23421"/>
    <w:rsid w:val="64E45EF7"/>
    <w:rsid w:val="65434D1D"/>
    <w:rsid w:val="657FC96D"/>
    <w:rsid w:val="65911061"/>
    <w:rsid w:val="65A44D90"/>
    <w:rsid w:val="65A6309E"/>
    <w:rsid w:val="65D17BE6"/>
    <w:rsid w:val="65F96243"/>
    <w:rsid w:val="661D25E1"/>
    <w:rsid w:val="664804A8"/>
    <w:rsid w:val="665F7607"/>
    <w:rsid w:val="66770C98"/>
    <w:rsid w:val="667B7072"/>
    <w:rsid w:val="66807B8D"/>
    <w:rsid w:val="668D30D8"/>
    <w:rsid w:val="6691014E"/>
    <w:rsid w:val="673226C3"/>
    <w:rsid w:val="676D8D67"/>
    <w:rsid w:val="676F3265"/>
    <w:rsid w:val="677435B2"/>
    <w:rsid w:val="67EF75F1"/>
    <w:rsid w:val="68076B16"/>
    <w:rsid w:val="68210EBB"/>
    <w:rsid w:val="68547D71"/>
    <w:rsid w:val="68CF712E"/>
    <w:rsid w:val="68D20407"/>
    <w:rsid w:val="69124662"/>
    <w:rsid w:val="69124F16"/>
    <w:rsid w:val="69BF1DE6"/>
    <w:rsid w:val="69CD5C14"/>
    <w:rsid w:val="69CF0D33"/>
    <w:rsid w:val="69D338DB"/>
    <w:rsid w:val="6A090CA9"/>
    <w:rsid w:val="6AF15D67"/>
    <w:rsid w:val="6B9946B3"/>
    <w:rsid w:val="6B9F610D"/>
    <w:rsid w:val="6BAD9DF4"/>
    <w:rsid w:val="6BD3071E"/>
    <w:rsid w:val="6C011020"/>
    <w:rsid w:val="6C532055"/>
    <w:rsid w:val="6C5456EE"/>
    <w:rsid w:val="6C5C05C5"/>
    <w:rsid w:val="6C7007C7"/>
    <w:rsid w:val="6CD1389B"/>
    <w:rsid w:val="6D033D14"/>
    <w:rsid w:val="6D0A4C54"/>
    <w:rsid w:val="6DE76850"/>
    <w:rsid w:val="6E14516B"/>
    <w:rsid w:val="6E2123DB"/>
    <w:rsid w:val="6E7721C1"/>
    <w:rsid w:val="6EBD3355"/>
    <w:rsid w:val="6ECB5DE9"/>
    <w:rsid w:val="6EFB20C5"/>
    <w:rsid w:val="6EFE1951"/>
    <w:rsid w:val="6F426850"/>
    <w:rsid w:val="6F435BBB"/>
    <w:rsid w:val="6F7F53DA"/>
    <w:rsid w:val="6FB20BD4"/>
    <w:rsid w:val="6FBA59BE"/>
    <w:rsid w:val="6FBF71F6"/>
    <w:rsid w:val="6FC50085"/>
    <w:rsid w:val="6FC5C987"/>
    <w:rsid w:val="6FC82564"/>
    <w:rsid w:val="6FD4987B"/>
    <w:rsid w:val="6FD86214"/>
    <w:rsid w:val="6FDBF957"/>
    <w:rsid w:val="6FEBBC64"/>
    <w:rsid w:val="6FF13E7F"/>
    <w:rsid w:val="70026211"/>
    <w:rsid w:val="70136576"/>
    <w:rsid w:val="70296B3E"/>
    <w:rsid w:val="703716AB"/>
    <w:rsid w:val="705B5186"/>
    <w:rsid w:val="70611204"/>
    <w:rsid w:val="709F46F4"/>
    <w:rsid w:val="70B16F43"/>
    <w:rsid w:val="70D47432"/>
    <w:rsid w:val="70DB7908"/>
    <w:rsid w:val="70E611B1"/>
    <w:rsid w:val="710A466F"/>
    <w:rsid w:val="710C4F43"/>
    <w:rsid w:val="713A1A77"/>
    <w:rsid w:val="715045BF"/>
    <w:rsid w:val="71737A2E"/>
    <w:rsid w:val="71A7659B"/>
    <w:rsid w:val="71A84665"/>
    <w:rsid w:val="71AC1A65"/>
    <w:rsid w:val="71B9230A"/>
    <w:rsid w:val="724F057A"/>
    <w:rsid w:val="725756C8"/>
    <w:rsid w:val="7285417E"/>
    <w:rsid w:val="728D19BD"/>
    <w:rsid w:val="728D795D"/>
    <w:rsid w:val="72AD6352"/>
    <w:rsid w:val="72EE4526"/>
    <w:rsid w:val="72F316A6"/>
    <w:rsid w:val="731B7604"/>
    <w:rsid w:val="737B9D6D"/>
    <w:rsid w:val="73B66250"/>
    <w:rsid w:val="73BCF460"/>
    <w:rsid w:val="73CD5155"/>
    <w:rsid w:val="73FFB5E9"/>
    <w:rsid w:val="74074216"/>
    <w:rsid w:val="7424715F"/>
    <w:rsid w:val="74463A57"/>
    <w:rsid w:val="74496963"/>
    <w:rsid w:val="749C001A"/>
    <w:rsid w:val="74AC0CA3"/>
    <w:rsid w:val="74AD0280"/>
    <w:rsid w:val="74B67436"/>
    <w:rsid w:val="74BE4029"/>
    <w:rsid w:val="74CE0B30"/>
    <w:rsid w:val="74E47206"/>
    <w:rsid w:val="74F62FC4"/>
    <w:rsid w:val="74FA2C30"/>
    <w:rsid w:val="75271ADB"/>
    <w:rsid w:val="754D5C4B"/>
    <w:rsid w:val="75AF68AB"/>
    <w:rsid w:val="75F45E61"/>
    <w:rsid w:val="75FB31C9"/>
    <w:rsid w:val="763B0F1D"/>
    <w:rsid w:val="763E3431"/>
    <w:rsid w:val="76416ADF"/>
    <w:rsid w:val="76421559"/>
    <w:rsid w:val="7667636B"/>
    <w:rsid w:val="76684865"/>
    <w:rsid w:val="767F3F9B"/>
    <w:rsid w:val="769221D2"/>
    <w:rsid w:val="76A51BE4"/>
    <w:rsid w:val="76B4664B"/>
    <w:rsid w:val="76C240A7"/>
    <w:rsid w:val="76DA5057"/>
    <w:rsid w:val="770D32B0"/>
    <w:rsid w:val="77271292"/>
    <w:rsid w:val="775246B7"/>
    <w:rsid w:val="77696F5B"/>
    <w:rsid w:val="777FCAFB"/>
    <w:rsid w:val="77920316"/>
    <w:rsid w:val="77B875B5"/>
    <w:rsid w:val="77E64F50"/>
    <w:rsid w:val="77E671E1"/>
    <w:rsid w:val="77FBF8E6"/>
    <w:rsid w:val="781225CE"/>
    <w:rsid w:val="781E69D1"/>
    <w:rsid w:val="782B18E2"/>
    <w:rsid w:val="78564879"/>
    <w:rsid w:val="7859526B"/>
    <w:rsid w:val="788D1DBE"/>
    <w:rsid w:val="78CC6FF0"/>
    <w:rsid w:val="790812C2"/>
    <w:rsid w:val="79140DEC"/>
    <w:rsid w:val="797B80FC"/>
    <w:rsid w:val="79B4008C"/>
    <w:rsid w:val="79B44CF3"/>
    <w:rsid w:val="7A263B6B"/>
    <w:rsid w:val="7A350796"/>
    <w:rsid w:val="7A6D69E6"/>
    <w:rsid w:val="7ABF4F14"/>
    <w:rsid w:val="7AEC63CB"/>
    <w:rsid w:val="7AF10BCE"/>
    <w:rsid w:val="7AF46346"/>
    <w:rsid w:val="7AF97A75"/>
    <w:rsid w:val="7B046FB3"/>
    <w:rsid w:val="7B0F5EBF"/>
    <w:rsid w:val="7B130FB9"/>
    <w:rsid w:val="7B3F8E2A"/>
    <w:rsid w:val="7B77A2B1"/>
    <w:rsid w:val="7B7B4BA0"/>
    <w:rsid w:val="7B9D15DA"/>
    <w:rsid w:val="7BEFCCF6"/>
    <w:rsid w:val="7BF64EDE"/>
    <w:rsid w:val="7BF74CBA"/>
    <w:rsid w:val="7BFB4D3A"/>
    <w:rsid w:val="7BFFEFDB"/>
    <w:rsid w:val="7C1D7794"/>
    <w:rsid w:val="7C322C94"/>
    <w:rsid w:val="7C400C1E"/>
    <w:rsid w:val="7C500314"/>
    <w:rsid w:val="7C617B0B"/>
    <w:rsid w:val="7C63716E"/>
    <w:rsid w:val="7C8F0F1A"/>
    <w:rsid w:val="7D2101E2"/>
    <w:rsid w:val="7D515739"/>
    <w:rsid w:val="7D5E528E"/>
    <w:rsid w:val="7D5F11A3"/>
    <w:rsid w:val="7D8E070A"/>
    <w:rsid w:val="7DB1264C"/>
    <w:rsid w:val="7DCF1F84"/>
    <w:rsid w:val="7DD11708"/>
    <w:rsid w:val="7DD7ABE3"/>
    <w:rsid w:val="7DFB3CAE"/>
    <w:rsid w:val="7DFE12FE"/>
    <w:rsid w:val="7DFF5A73"/>
    <w:rsid w:val="7DFF98B8"/>
    <w:rsid w:val="7DFFBB93"/>
    <w:rsid w:val="7E2BBF89"/>
    <w:rsid w:val="7E3714DA"/>
    <w:rsid w:val="7E406B8E"/>
    <w:rsid w:val="7E4767A2"/>
    <w:rsid w:val="7E5020A2"/>
    <w:rsid w:val="7E76732E"/>
    <w:rsid w:val="7E9E2743"/>
    <w:rsid w:val="7E9F4838"/>
    <w:rsid w:val="7EB17EDD"/>
    <w:rsid w:val="7EB7FD0B"/>
    <w:rsid w:val="7EC167BD"/>
    <w:rsid w:val="7F272D9E"/>
    <w:rsid w:val="7F45DF09"/>
    <w:rsid w:val="7F5C3EC3"/>
    <w:rsid w:val="7F67B5F8"/>
    <w:rsid w:val="7F76784E"/>
    <w:rsid w:val="7F7A745C"/>
    <w:rsid w:val="7FC61BE3"/>
    <w:rsid w:val="7FE12F49"/>
    <w:rsid w:val="7FE66D69"/>
    <w:rsid w:val="7FF54C1D"/>
    <w:rsid w:val="7FF7044A"/>
    <w:rsid w:val="7FF70FBE"/>
    <w:rsid w:val="7FF8326C"/>
    <w:rsid w:val="7FFF1B9D"/>
    <w:rsid w:val="7FFF20AF"/>
    <w:rsid w:val="8BF31E67"/>
    <w:rsid w:val="94DFBFA5"/>
    <w:rsid w:val="9732AA5C"/>
    <w:rsid w:val="9EF75A15"/>
    <w:rsid w:val="9FEDA897"/>
    <w:rsid w:val="A99FD30F"/>
    <w:rsid w:val="AFDB9528"/>
    <w:rsid w:val="AFDF9E98"/>
    <w:rsid w:val="B13DB357"/>
    <w:rsid w:val="B7AC4989"/>
    <w:rsid w:val="B7D7E7FF"/>
    <w:rsid w:val="B7DD076A"/>
    <w:rsid w:val="B7FFC89F"/>
    <w:rsid w:val="BF278333"/>
    <w:rsid w:val="BF5D6E3D"/>
    <w:rsid w:val="BF6BD6EC"/>
    <w:rsid w:val="BF7DF3FB"/>
    <w:rsid w:val="BFDBA8E9"/>
    <w:rsid w:val="BFDFD7E7"/>
    <w:rsid w:val="BFF8852E"/>
    <w:rsid w:val="CCD733E6"/>
    <w:rsid w:val="CF3E3022"/>
    <w:rsid w:val="CF7D6247"/>
    <w:rsid w:val="D2BD97BA"/>
    <w:rsid w:val="D6EE14E9"/>
    <w:rsid w:val="D75992FF"/>
    <w:rsid w:val="D93B68D6"/>
    <w:rsid w:val="D943CB36"/>
    <w:rsid w:val="DAFB38C0"/>
    <w:rsid w:val="DDAF1AF0"/>
    <w:rsid w:val="DDBFBD33"/>
    <w:rsid w:val="DE35CD27"/>
    <w:rsid w:val="DE7F34B9"/>
    <w:rsid w:val="DEEDC1EF"/>
    <w:rsid w:val="DF5E2026"/>
    <w:rsid w:val="DFEE49E1"/>
    <w:rsid w:val="DFF2A4F8"/>
    <w:rsid w:val="DFFF3EBC"/>
    <w:rsid w:val="E5CE8158"/>
    <w:rsid w:val="E8A71C58"/>
    <w:rsid w:val="EBB71BF4"/>
    <w:rsid w:val="EDFB6A4B"/>
    <w:rsid w:val="EE5D0BFB"/>
    <w:rsid w:val="EF4BFEE6"/>
    <w:rsid w:val="EF760CDD"/>
    <w:rsid w:val="EFD59AA3"/>
    <w:rsid w:val="EFF3A2EE"/>
    <w:rsid w:val="EFFF947A"/>
    <w:rsid w:val="F3F75A53"/>
    <w:rsid w:val="F51DEBFC"/>
    <w:rsid w:val="F5EBBA0D"/>
    <w:rsid w:val="F7D7D053"/>
    <w:rsid w:val="F7F047DC"/>
    <w:rsid w:val="F7F73731"/>
    <w:rsid w:val="F9AF7113"/>
    <w:rsid w:val="F9BF14A6"/>
    <w:rsid w:val="F9FF7D7A"/>
    <w:rsid w:val="FB33FD60"/>
    <w:rsid w:val="FBCB71AC"/>
    <w:rsid w:val="FBFB28D8"/>
    <w:rsid w:val="FC3CB5D7"/>
    <w:rsid w:val="FCD35DE6"/>
    <w:rsid w:val="FCEF8343"/>
    <w:rsid w:val="FDB56683"/>
    <w:rsid w:val="FDE5BA70"/>
    <w:rsid w:val="FDFBD569"/>
    <w:rsid w:val="FDFDE51D"/>
    <w:rsid w:val="FE7FD825"/>
    <w:rsid w:val="FEC95B34"/>
    <w:rsid w:val="FECF7B72"/>
    <w:rsid w:val="FED44861"/>
    <w:rsid w:val="FEE4CAC0"/>
    <w:rsid w:val="FEF49295"/>
    <w:rsid w:val="FF5D64C4"/>
    <w:rsid w:val="FF7BF799"/>
    <w:rsid w:val="FF7FAF0A"/>
    <w:rsid w:val="FF8E6B24"/>
    <w:rsid w:val="FFBEC771"/>
    <w:rsid w:val="FFD5A3E1"/>
    <w:rsid w:val="FFDE0CF4"/>
    <w:rsid w:val="FFE64B89"/>
    <w:rsid w:val="FFFB93A4"/>
    <w:rsid w:val="FFFEB387"/>
    <w:rsid w:val="FFFF88B2"/>
    <w:rsid w:val="FFFFB9D3"/>
    <w:rsid w:val="FFFFE4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nhideWhenUsed="0" w:uiPriority="9" w:semiHidden="0" w:name="heading 4"/>
    <w:lsdException w:qFormat="1" w:unhideWhenUsed="0" w:uiPriority="9" w:semiHidden="0" w:name="heading 5"/>
    <w:lsdException w:qFormat="1" w:unhideWhenUsed="0" w:uiPriority="1" w:semiHidden="0" w:name="heading 6"/>
    <w:lsdException w:qFormat="1" w:uiPriority="9" w:name="heading 7"/>
    <w:lsdException w:qFormat="1" w:unhideWhenUsed="0" w:uiPriority="9" w:semiHidden="0"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qFormat="1" w:uiPriority="99" w:semiHidden="0" w:name="endnote reference"/>
    <w:lsdException w:uiPriority="99" w:name="endnote text"/>
    <w:lsdException w:uiPriority="99" w:name="table of authorities"/>
    <w:lsdException w:uiPriority="99" w:name="macro"/>
    <w:lsdException w:uiPriority="99" w:name="toa heading"/>
    <w:lsdException w:qFormat="1" w:uiPriority="99" w:semiHidden="0" w:name="List"/>
    <w:lsdException w:uiPriority="99" w:name="List Bullet"/>
    <w:lsdException w:qFormat="1" w:unhideWhenUsed="0" w:uiPriority="0" w:semiHidden="0" w:name="List Number"/>
    <w:lsdException w:qFormat="1" w:uiPriority="99"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qFormat="1" w:uiPriority="99" w:semiHidden="0" w:name="Body Text 3"/>
    <w:lsdException w:qFormat="1" w:unhideWhenUsed="0" w:uiPriority="0" w:semiHidden="0"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link w:val="56"/>
    <w:qFormat/>
    <w:uiPriority w:val="9"/>
    <w:pPr>
      <w:spacing w:beforeAutospacing="1" w:afterAutospacing="1"/>
      <w:jc w:val="left"/>
      <w:outlineLvl w:val="0"/>
    </w:pPr>
    <w:rPr>
      <w:rFonts w:hint="eastAsia" w:ascii="宋体" w:hAnsi="宋体"/>
      <w:b/>
      <w:bCs/>
      <w:kern w:val="44"/>
      <w:sz w:val="48"/>
      <w:szCs w:val="48"/>
    </w:rPr>
  </w:style>
  <w:style w:type="paragraph" w:styleId="5">
    <w:name w:val="heading 2"/>
    <w:basedOn w:val="1"/>
    <w:next w:val="1"/>
    <w:link w:val="54"/>
    <w:qFormat/>
    <w:uiPriority w:val="9"/>
    <w:pPr>
      <w:keepNext/>
      <w:keepLines/>
      <w:spacing w:before="260" w:after="260" w:line="416" w:lineRule="auto"/>
      <w:outlineLvl w:val="1"/>
    </w:pPr>
    <w:rPr>
      <w:rFonts w:ascii="Cambria" w:hAnsi="Cambria"/>
      <w:b/>
      <w:bCs/>
      <w:sz w:val="32"/>
      <w:szCs w:val="32"/>
    </w:rPr>
  </w:style>
  <w:style w:type="paragraph" w:styleId="6">
    <w:name w:val="heading 3"/>
    <w:basedOn w:val="1"/>
    <w:next w:val="1"/>
    <w:semiHidden/>
    <w:unhideWhenUsed/>
    <w:qFormat/>
    <w:uiPriority w:val="9"/>
    <w:pPr>
      <w:spacing w:before="0" w:beforeAutospacing="1" w:after="0" w:afterAutospacing="1"/>
      <w:jc w:val="left"/>
    </w:pPr>
    <w:rPr>
      <w:rFonts w:hint="eastAsia" w:ascii="宋体" w:hAnsi="宋体" w:eastAsia="宋体" w:cs="宋体"/>
      <w:b/>
      <w:bCs/>
      <w:kern w:val="0"/>
      <w:sz w:val="27"/>
      <w:szCs w:val="27"/>
      <w:lang w:val="en-US" w:eastAsia="zh-CN" w:bidi="ar"/>
    </w:rPr>
  </w:style>
  <w:style w:type="paragraph" w:styleId="7">
    <w:name w:val="heading 4"/>
    <w:basedOn w:val="1"/>
    <w:next w:val="1"/>
    <w:qFormat/>
    <w:uiPriority w:val="9"/>
    <w:pPr>
      <w:spacing w:before="100" w:beforeAutospacing="1" w:after="100" w:afterAutospacing="1"/>
      <w:jc w:val="left"/>
      <w:outlineLvl w:val="3"/>
    </w:pPr>
    <w:rPr>
      <w:rFonts w:hint="eastAsia" w:ascii="宋体" w:hAnsi="宋体"/>
      <w:b/>
      <w:kern w:val="0"/>
      <w:sz w:val="24"/>
    </w:rPr>
  </w:style>
  <w:style w:type="paragraph" w:styleId="8">
    <w:name w:val="heading 5"/>
    <w:basedOn w:val="1"/>
    <w:next w:val="9"/>
    <w:link w:val="66"/>
    <w:qFormat/>
    <w:uiPriority w:val="9"/>
    <w:pPr>
      <w:keepNext/>
      <w:keepLines/>
      <w:spacing w:before="280" w:after="290" w:line="376" w:lineRule="auto"/>
      <w:outlineLvl w:val="4"/>
    </w:pPr>
    <w:rPr>
      <w:b/>
      <w:bCs/>
      <w:sz w:val="28"/>
      <w:szCs w:val="28"/>
    </w:rPr>
  </w:style>
  <w:style w:type="paragraph" w:styleId="10">
    <w:name w:val="heading 6"/>
    <w:basedOn w:val="1"/>
    <w:next w:val="1"/>
    <w:qFormat/>
    <w:uiPriority w:val="1"/>
    <w:pPr>
      <w:ind w:left="112"/>
      <w:outlineLvl w:val="5"/>
    </w:pPr>
    <w:rPr>
      <w:rFonts w:ascii="宋体" w:hAnsi="宋体"/>
      <w:b/>
      <w:bCs/>
      <w:szCs w:val="21"/>
    </w:rPr>
  </w:style>
  <w:style w:type="paragraph" w:styleId="11">
    <w:name w:val="heading 8"/>
    <w:basedOn w:val="1"/>
    <w:next w:val="1"/>
    <w:link w:val="47"/>
    <w:qFormat/>
    <w:uiPriority w:val="9"/>
    <w:pPr>
      <w:keepNext/>
      <w:keepLines/>
      <w:spacing w:before="240" w:after="64" w:line="320" w:lineRule="auto"/>
      <w:outlineLvl w:val="7"/>
    </w:pPr>
    <w:rPr>
      <w:rFonts w:ascii="等线 Light" w:hAnsi="等线 Light" w:eastAsia="等线 Light"/>
      <w:sz w:val="24"/>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ind w:firstLine="420" w:firstLineChars="200"/>
    </w:pPr>
  </w:style>
  <w:style w:type="paragraph" w:styleId="3">
    <w:name w:val="Body Text Indent"/>
    <w:basedOn w:val="1"/>
    <w:link w:val="65"/>
    <w:qFormat/>
    <w:uiPriority w:val="0"/>
    <w:pPr>
      <w:ind w:firstLine="830" w:firstLineChars="352"/>
    </w:pPr>
    <w:rPr>
      <w:rFonts w:ascii="仿宋_GB2312" w:eastAsia="仿宋_GB2312"/>
      <w:kern w:val="0"/>
      <w:sz w:val="32"/>
      <w:szCs w:val="20"/>
    </w:rPr>
  </w:style>
  <w:style w:type="paragraph" w:styleId="9">
    <w:name w:val="Normal Indent"/>
    <w:basedOn w:val="1"/>
    <w:qFormat/>
    <w:uiPriority w:val="0"/>
    <w:pPr>
      <w:ind w:firstLine="420"/>
    </w:pPr>
    <w:rPr>
      <w:szCs w:val="20"/>
    </w:rPr>
  </w:style>
  <w:style w:type="paragraph" w:styleId="12">
    <w:name w:val="List Number"/>
    <w:basedOn w:val="1"/>
    <w:qFormat/>
    <w:uiPriority w:val="0"/>
    <w:pPr>
      <w:widowControl/>
      <w:tabs>
        <w:tab w:val="left" w:pos="454"/>
        <w:tab w:val="left" w:pos="720"/>
        <w:tab w:val="left" w:pos="840"/>
      </w:tabs>
      <w:spacing w:after="50" w:afterLines="50"/>
      <w:ind w:left="454" w:hanging="284"/>
      <w:jc w:val="left"/>
    </w:pPr>
    <w:rPr>
      <w:kern w:val="0"/>
      <w:sz w:val="24"/>
      <w:szCs w:val="20"/>
    </w:rPr>
  </w:style>
  <w:style w:type="paragraph" w:styleId="13">
    <w:name w:val="annotation text"/>
    <w:basedOn w:val="1"/>
    <w:link w:val="69"/>
    <w:qFormat/>
    <w:uiPriority w:val="0"/>
    <w:pPr>
      <w:jc w:val="left"/>
    </w:pPr>
  </w:style>
  <w:style w:type="paragraph" w:styleId="14">
    <w:name w:val="Body Text 3"/>
    <w:basedOn w:val="1"/>
    <w:link w:val="53"/>
    <w:unhideWhenUsed/>
    <w:qFormat/>
    <w:uiPriority w:val="99"/>
    <w:pPr>
      <w:spacing w:after="120"/>
    </w:pPr>
    <w:rPr>
      <w:sz w:val="16"/>
      <w:szCs w:val="16"/>
    </w:rPr>
  </w:style>
  <w:style w:type="paragraph" w:styleId="15">
    <w:name w:val="Body Text"/>
    <w:basedOn w:val="1"/>
    <w:next w:val="16"/>
    <w:link w:val="63"/>
    <w:unhideWhenUsed/>
    <w:qFormat/>
    <w:uiPriority w:val="0"/>
    <w:pPr>
      <w:spacing w:after="120"/>
    </w:pPr>
  </w:style>
  <w:style w:type="paragraph" w:styleId="16">
    <w:name w:val="Body Text First Indent"/>
    <w:basedOn w:val="15"/>
    <w:next w:val="1"/>
    <w:qFormat/>
    <w:uiPriority w:val="0"/>
    <w:pPr>
      <w:spacing w:beforeLines="50" w:afterLines="50" w:line="360" w:lineRule="auto"/>
      <w:ind w:firstLine="420" w:firstLineChars="100"/>
    </w:pPr>
  </w:style>
  <w:style w:type="paragraph" w:styleId="17">
    <w:name w:val="List 2"/>
    <w:basedOn w:val="1"/>
    <w:unhideWhenUsed/>
    <w:qFormat/>
    <w:uiPriority w:val="99"/>
    <w:pPr>
      <w:ind w:left="100" w:leftChars="200" w:hanging="200" w:hangingChars="200"/>
      <w:contextualSpacing/>
    </w:pPr>
  </w:style>
  <w:style w:type="paragraph" w:styleId="18">
    <w:name w:val="Plain Text"/>
    <w:basedOn w:val="1"/>
    <w:next w:val="1"/>
    <w:link w:val="51"/>
    <w:qFormat/>
    <w:uiPriority w:val="0"/>
    <w:rPr>
      <w:rFonts w:ascii="宋体" w:hAnsi="Courier New"/>
      <w:kern w:val="0"/>
      <w:sz w:val="20"/>
      <w:szCs w:val="21"/>
    </w:rPr>
  </w:style>
  <w:style w:type="paragraph" w:styleId="19">
    <w:name w:val="Date"/>
    <w:basedOn w:val="1"/>
    <w:next w:val="1"/>
    <w:link w:val="60"/>
    <w:unhideWhenUsed/>
    <w:qFormat/>
    <w:uiPriority w:val="99"/>
    <w:pPr>
      <w:ind w:left="100" w:leftChars="2500"/>
    </w:pPr>
  </w:style>
  <w:style w:type="paragraph" w:styleId="20">
    <w:name w:val="Body Text Indent 2"/>
    <w:basedOn w:val="1"/>
    <w:qFormat/>
    <w:uiPriority w:val="0"/>
    <w:pPr>
      <w:ind w:firstLine="630"/>
    </w:pPr>
    <w:rPr>
      <w:kern w:val="0"/>
      <w:sz w:val="32"/>
      <w:szCs w:val="20"/>
    </w:rPr>
  </w:style>
  <w:style w:type="paragraph" w:styleId="21">
    <w:name w:val="Balloon Text"/>
    <w:basedOn w:val="1"/>
    <w:qFormat/>
    <w:uiPriority w:val="0"/>
    <w:rPr>
      <w:sz w:val="18"/>
      <w:szCs w:val="18"/>
    </w:rPr>
  </w:style>
  <w:style w:type="paragraph" w:styleId="22">
    <w:name w:val="footer"/>
    <w:basedOn w:val="1"/>
    <w:next w:val="1"/>
    <w:link w:val="48"/>
    <w:unhideWhenUsed/>
    <w:qFormat/>
    <w:uiPriority w:val="99"/>
    <w:pPr>
      <w:tabs>
        <w:tab w:val="center" w:pos="4153"/>
        <w:tab w:val="right" w:pos="8306"/>
      </w:tabs>
      <w:snapToGrid w:val="0"/>
      <w:jc w:val="left"/>
    </w:pPr>
    <w:rPr>
      <w:kern w:val="0"/>
      <w:sz w:val="18"/>
      <w:szCs w:val="18"/>
    </w:rPr>
  </w:style>
  <w:style w:type="paragraph" w:styleId="23">
    <w:name w:val="header"/>
    <w:basedOn w:val="1"/>
    <w:link w:val="62"/>
    <w:unhideWhenUsed/>
    <w:qFormat/>
    <w:uiPriority w:val="99"/>
    <w:pPr>
      <w:pBdr>
        <w:bottom w:val="single" w:color="auto" w:sz="6" w:space="1"/>
      </w:pBdr>
      <w:tabs>
        <w:tab w:val="center" w:pos="4153"/>
        <w:tab w:val="right" w:pos="8306"/>
      </w:tabs>
      <w:snapToGrid w:val="0"/>
      <w:jc w:val="center"/>
    </w:pPr>
    <w:rPr>
      <w:kern w:val="0"/>
      <w:sz w:val="18"/>
      <w:szCs w:val="18"/>
    </w:rPr>
  </w:style>
  <w:style w:type="paragraph" w:styleId="24">
    <w:name w:val="toc 1"/>
    <w:basedOn w:val="1"/>
    <w:next w:val="1"/>
    <w:unhideWhenUsed/>
    <w:qFormat/>
    <w:uiPriority w:val="39"/>
  </w:style>
  <w:style w:type="paragraph" w:styleId="25">
    <w:name w:val="List"/>
    <w:basedOn w:val="1"/>
    <w:unhideWhenUsed/>
    <w:qFormat/>
    <w:uiPriority w:val="99"/>
    <w:pPr>
      <w:ind w:left="200" w:hanging="200" w:hangingChars="200"/>
      <w:contextualSpacing/>
    </w:pPr>
  </w:style>
  <w:style w:type="paragraph" w:styleId="26">
    <w:name w:val="footnote text"/>
    <w:basedOn w:val="1"/>
    <w:qFormat/>
    <w:uiPriority w:val="0"/>
    <w:pPr>
      <w:snapToGrid w:val="0"/>
      <w:jc w:val="left"/>
    </w:pPr>
    <w:rPr>
      <w:sz w:val="18"/>
    </w:rPr>
  </w:style>
  <w:style w:type="paragraph" w:styleId="27">
    <w:name w:val="toc 2"/>
    <w:basedOn w:val="1"/>
    <w:next w:val="1"/>
    <w:unhideWhenUsed/>
    <w:qFormat/>
    <w:uiPriority w:val="39"/>
    <w:pPr>
      <w:tabs>
        <w:tab w:val="right" w:leader="dot" w:pos="8296"/>
      </w:tabs>
      <w:ind w:left="420" w:leftChars="200"/>
    </w:pPr>
  </w:style>
  <w:style w:type="paragraph" w:styleId="28">
    <w:name w:val="Normal (Web)"/>
    <w:basedOn w:val="1"/>
    <w:unhideWhenUsed/>
    <w:qFormat/>
    <w:uiPriority w:val="99"/>
    <w:rPr>
      <w:rFonts w:ascii="Calibri" w:hAnsi="Calibri"/>
      <w:kern w:val="0"/>
      <w:sz w:val="24"/>
    </w:rPr>
  </w:style>
  <w:style w:type="paragraph" w:styleId="29">
    <w:name w:val="Title"/>
    <w:basedOn w:val="1"/>
    <w:next w:val="1"/>
    <w:qFormat/>
    <w:uiPriority w:val="10"/>
    <w:pPr>
      <w:jc w:val="center"/>
      <w:outlineLvl w:val="0"/>
    </w:pPr>
    <w:rPr>
      <w:rFonts w:ascii="Cambria" w:hAnsi="Cambria"/>
      <w:b/>
      <w:bCs/>
      <w:sz w:val="44"/>
      <w:szCs w:val="32"/>
    </w:rPr>
  </w:style>
  <w:style w:type="paragraph" w:styleId="30">
    <w:name w:val="annotation subject"/>
    <w:basedOn w:val="13"/>
    <w:next w:val="13"/>
    <w:link w:val="50"/>
    <w:qFormat/>
    <w:uiPriority w:val="99"/>
    <w:rPr>
      <w:b/>
      <w:bCs/>
    </w:rPr>
  </w:style>
  <w:style w:type="table" w:styleId="32">
    <w:name w:val="Table Grid"/>
    <w:basedOn w:val="31"/>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34">
    <w:name w:val="Strong"/>
    <w:basedOn w:val="33"/>
    <w:qFormat/>
    <w:uiPriority w:val="22"/>
    <w:rPr>
      <w:b/>
    </w:rPr>
  </w:style>
  <w:style w:type="character" w:styleId="35">
    <w:name w:val="endnote reference"/>
    <w:unhideWhenUsed/>
    <w:qFormat/>
    <w:uiPriority w:val="99"/>
    <w:rPr>
      <w:vertAlign w:val="superscript"/>
    </w:rPr>
  </w:style>
  <w:style w:type="character" w:styleId="36">
    <w:name w:val="FollowedHyperlink"/>
    <w:unhideWhenUsed/>
    <w:qFormat/>
    <w:uiPriority w:val="99"/>
    <w:rPr>
      <w:color w:val="800080"/>
      <w:u w:val="none"/>
    </w:rPr>
  </w:style>
  <w:style w:type="character" w:styleId="37">
    <w:name w:val="Hyperlink"/>
    <w:unhideWhenUsed/>
    <w:qFormat/>
    <w:uiPriority w:val="99"/>
    <w:rPr>
      <w:color w:val="0000FF"/>
      <w:u w:val="none"/>
    </w:rPr>
  </w:style>
  <w:style w:type="character" w:styleId="38">
    <w:name w:val="annotation reference"/>
    <w:qFormat/>
    <w:uiPriority w:val="0"/>
    <w:rPr>
      <w:sz w:val="21"/>
      <w:szCs w:val="21"/>
    </w:rPr>
  </w:style>
  <w:style w:type="paragraph" w:customStyle="1" w:styleId="39">
    <w:name w:val="BodyText"/>
    <w:qFormat/>
    <w:uiPriority w:val="0"/>
    <w:pPr>
      <w:adjustRightInd w:val="0"/>
      <w:snapToGrid w:val="0"/>
      <w:spacing w:after="200" w:line="380" w:lineRule="exact"/>
      <w:jc w:val="both"/>
      <w:textAlignment w:val="baseline"/>
    </w:pPr>
    <w:rPr>
      <w:rFonts w:ascii="Tahoma" w:hAnsi="Tahoma" w:eastAsia="微软雅黑" w:cs="Times New Roman"/>
      <w:kern w:val="2"/>
      <w:sz w:val="24"/>
      <w:szCs w:val="24"/>
      <w:lang w:val="en-US" w:eastAsia="zh-CN" w:bidi="ar-SA"/>
    </w:rPr>
  </w:style>
  <w:style w:type="paragraph" w:customStyle="1" w:styleId="40">
    <w:name w:val="图表目录2"/>
    <w:basedOn w:val="1"/>
    <w:next w:val="1"/>
    <w:qFormat/>
    <w:uiPriority w:val="0"/>
    <w:pPr>
      <w:ind w:left="200" w:leftChars="200" w:hanging="200" w:hangingChars="200"/>
    </w:pPr>
  </w:style>
  <w:style w:type="paragraph" w:customStyle="1" w:styleId="41">
    <w:name w:val="Default"/>
    <w:basedOn w:val="29"/>
    <w:next w:val="4"/>
    <w:qFormat/>
    <w:uiPriority w:val="0"/>
    <w:pPr>
      <w:autoSpaceDE w:val="0"/>
      <w:autoSpaceDN w:val="0"/>
      <w:adjustRightInd w:val="0"/>
    </w:pPr>
    <w:rPr>
      <w:rFonts w:hint="eastAsia" w:ascii="方正小标宋_GBK" w:hAnsi="方正小标宋_GBK" w:eastAsia="方正小标宋_GBK"/>
      <w:color w:val="000000"/>
      <w:sz w:val="24"/>
      <w:szCs w:val="22"/>
    </w:rPr>
  </w:style>
  <w:style w:type="paragraph" w:customStyle="1" w:styleId="42">
    <w:name w:val="表内文字"/>
    <w:basedOn w:val="1"/>
    <w:qFormat/>
    <w:uiPriority w:val="0"/>
    <w:pPr>
      <w:snapToGrid w:val="0"/>
      <w:spacing w:before="50" w:after="50"/>
      <w:jc w:val="center"/>
    </w:pPr>
    <w:rPr>
      <w:rFonts w:ascii="仿宋_GB2312" w:hAnsi="宋体" w:eastAsia="仿宋_GB2312"/>
      <w:b/>
      <w:color w:val="000000"/>
      <w:sz w:val="32"/>
      <w:szCs w:val="32"/>
    </w:rPr>
  </w:style>
  <w:style w:type="paragraph" w:styleId="43">
    <w:name w:val="List Paragraph"/>
    <w:basedOn w:val="1"/>
    <w:qFormat/>
    <w:uiPriority w:val="34"/>
    <w:pPr>
      <w:ind w:firstLine="420" w:firstLineChars="200"/>
    </w:pPr>
  </w:style>
  <w:style w:type="paragraph" w:customStyle="1" w:styleId="44">
    <w:name w:val="默认段落字体 Para Char Char Char Char Char Char Char Char Char1 Char Char Char Char"/>
    <w:basedOn w:val="1"/>
    <w:qFormat/>
    <w:uiPriority w:val="0"/>
    <w:rPr>
      <w:rFonts w:ascii="Tahoma" w:hAnsi="Tahoma"/>
      <w:sz w:val="24"/>
      <w:szCs w:val="20"/>
    </w:rPr>
  </w:style>
  <w:style w:type="paragraph" w:customStyle="1" w:styleId="45">
    <w:name w:val="1"/>
    <w:basedOn w:val="1"/>
    <w:next w:val="18"/>
    <w:qFormat/>
    <w:uiPriority w:val="0"/>
    <w:rPr>
      <w:rFonts w:ascii="宋体" w:hAnsi="Courier New"/>
      <w:szCs w:val="20"/>
    </w:rPr>
  </w:style>
  <w:style w:type="paragraph" w:customStyle="1" w:styleId="46">
    <w:name w:val="_Style 42"/>
    <w:unhideWhenUsed/>
    <w:qFormat/>
    <w:uiPriority w:val="99"/>
    <w:rPr>
      <w:rFonts w:ascii="Times New Roman" w:hAnsi="Times New Roman" w:eastAsia="宋体" w:cs="Times New Roman"/>
      <w:kern w:val="2"/>
      <w:sz w:val="21"/>
      <w:szCs w:val="24"/>
      <w:lang w:val="en-US" w:eastAsia="zh-CN" w:bidi="ar-SA"/>
    </w:rPr>
  </w:style>
  <w:style w:type="character" w:customStyle="1" w:styleId="47">
    <w:name w:val="标题 8 Char1"/>
    <w:link w:val="11"/>
    <w:semiHidden/>
    <w:qFormat/>
    <w:uiPriority w:val="9"/>
    <w:rPr>
      <w:rFonts w:ascii="等线 Light" w:hAnsi="等线 Light" w:eastAsia="等线 Light" w:cs="Times New Roman"/>
      <w:kern w:val="2"/>
      <w:sz w:val="24"/>
      <w:szCs w:val="24"/>
    </w:rPr>
  </w:style>
  <w:style w:type="character" w:customStyle="1" w:styleId="48">
    <w:name w:val="页脚 Char"/>
    <w:link w:val="22"/>
    <w:qFormat/>
    <w:uiPriority w:val="99"/>
    <w:rPr>
      <w:sz w:val="18"/>
      <w:szCs w:val="18"/>
    </w:rPr>
  </w:style>
  <w:style w:type="character" w:customStyle="1" w:styleId="49">
    <w:name w:val="正文文本 (26) + 间距 0 pt"/>
    <w:qFormat/>
    <w:uiPriority w:val="0"/>
    <w:rPr>
      <w:rFonts w:ascii="宋体" w:hAnsi="宋体" w:eastAsia="宋体" w:cs="宋体"/>
      <w:color w:val="000000"/>
      <w:spacing w:val="0"/>
      <w:w w:val="100"/>
      <w:position w:val="0"/>
      <w:sz w:val="22"/>
      <w:szCs w:val="22"/>
      <w:u w:val="none"/>
      <w:lang w:val="zh-CN" w:eastAsia="zh-CN" w:bidi="zh-CN"/>
    </w:rPr>
  </w:style>
  <w:style w:type="character" w:customStyle="1" w:styleId="50">
    <w:name w:val="批注主题 Char"/>
    <w:link w:val="30"/>
    <w:qFormat/>
    <w:uiPriority w:val="99"/>
    <w:rPr>
      <w:rFonts w:ascii="Times New Roman" w:hAnsi="Times New Roman"/>
      <w:b/>
      <w:bCs/>
      <w:kern w:val="2"/>
      <w:sz w:val="21"/>
      <w:szCs w:val="24"/>
    </w:rPr>
  </w:style>
  <w:style w:type="character" w:customStyle="1" w:styleId="51">
    <w:name w:val="纯文本 Char1"/>
    <w:link w:val="18"/>
    <w:qFormat/>
    <w:uiPriority w:val="0"/>
    <w:rPr>
      <w:rFonts w:ascii="宋体" w:hAnsi="Courier New" w:eastAsia="宋体" w:cs="Courier New"/>
      <w:szCs w:val="21"/>
    </w:rPr>
  </w:style>
  <w:style w:type="character" w:customStyle="1" w:styleId="52">
    <w:name w:val="标题 2 Char"/>
    <w:qFormat/>
    <w:uiPriority w:val="9"/>
    <w:rPr>
      <w:rFonts w:ascii="Cambria" w:hAnsi="Cambria" w:eastAsia="宋体" w:cs="Times New Roman"/>
      <w:b/>
      <w:bCs/>
      <w:kern w:val="2"/>
      <w:sz w:val="32"/>
      <w:szCs w:val="32"/>
    </w:rPr>
  </w:style>
  <w:style w:type="character" w:customStyle="1" w:styleId="53">
    <w:name w:val="正文文本 3 Char"/>
    <w:link w:val="14"/>
    <w:semiHidden/>
    <w:qFormat/>
    <w:uiPriority w:val="99"/>
    <w:rPr>
      <w:kern w:val="2"/>
      <w:sz w:val="16"/>
      <w:szCs w:val="16"/>
    </w:rPr>
  </w:style>
  <w:style w:type="character" w:customStyle="1" w:styleId="54">
    <w:name w:val="标题 2 Char1"/>
    <w:link w:val="5"/>
    <w:qFormat/>
    <w:uiPriority w:val="9"/>
    <w:rPr>
      <w:rFonts w:ascii="Cambria" w:hAnsi="Cambria" w:eastAsia="宋体" w:cs="Times New Roman"/>
      <w:b/>
      <w:bCs/>
      <w:kern w:val="2"/>
      <w:sz w:val="32"/>
      <w:szCs w:val="32"/>
    </w:rPr>
  </w:style>
  <w:style w:type="character" w:customStyle="1" w:styleId="55">
    <w:name w:val="纯文本 字符2"/>
    <w:qFormat/>
    <w:uiPriority w:val="0"/>
    <w:rPr>
      <w:rFonts w:ascii="宋体" w:hAnsi="Courier New" w:eastAsia="宋体" w:cs="Courier New"/>
      <w:szCs w:val="21"/>
    </w:rPr>
  </w:style>
  <w:style w:type="character" w:customStyle="1" w:styleId="56">
    <w:name w:val="标题 1 Char"/>
    <w:link w:val="4"/>
    <w:qFormat/>
    <w:uiPriority w:val="0"/>
    <w:rPr>
      <w:b/>
      <w:kern w:val="44"/>
      <w:sz w:val="44"/>
    </w:rPr>
  </w:style>
  <w:style w:type="character" w:customStyle="1" w:styleId="57">
    <w:name w:val="纯文本 字符1"/>
    <w:qFormat/>
    <w:uiPriority w:val="0"/>
    <w:rPr>
      <w:rFonts w:ascii="宋体" w:hAnsi="Courier New"/>
    </w:rPr>
  </w:style>
  <w:style w:type="character" w:customStyle="1" w:styleId="58">
    <w:name w:val="批注文字 Char"/>
    <w:qFormat/>
    <w:uiPriority w:val="0"/>
    <w:rPr>
      <w:rFonts w:ascii="Times New Roman" w:hAnsi="Times New Roman"/>
      <w:kern w:val="2"/>
      <w:sz w:val="21"/>
      <w:szCs w:val="24"/>
    </w:rPr>
  </w:style>
  <w:style w:type="character" w:customStyle="1" w:styleId="59">
    <w:name w:val="textcontents"/>
    <w:qFormat/>
    <w:uiPriority w:val="0"/>
  </w:style>
  <w:style w:type="character" w:customStyle="1" w:styleId="60">
    <w:name w:val="日期 Char"/>
    <w:link w:val="19"/>
    <w:semiHidden/>
    <w:qFormat/>
    <w:uiPriority w:val="99"/>
    <w:rPr>
      <w:rFonts w:ascii="Times New Roman" w:hAnsi="Times New Roman"/>
      <w:kern w:val="2"/>
      <w:sz w:val="21"/>
      <w:szCs w:val="24"/>
    </w:rPr>
  </w:style>
  <w:style w:type="character" w:customStyle="1" w:styleId="61">
    <w:name w:val="标题 8 Char"/>
    <w:qFormat/>
    <w:uiPriority w:val="0"/>
    <w:rPr>
      <w:rFonts w:ascii="Arial" w:hAnsi="Arial" w:eastAsia="黑体"/>
      <w:kern w:val="2"/>
      <w:sz w:val="24"/>
      <w:szCs w:val="24"/>
    </w:rPr>
  </w:style>
  <w:style w:type="character" w:customStyle="1" w:styleId="62">
    <w:name w:val="页眉 Char"/>
    <w:link w:val="23"/>
    <w:qFormat/>
    <w:uiPriority w:val="99"/>
    <w:rPr>
      <w:sz w:val="18"/>
      <w:szCs w:val="18"/>
    </w:rPr>
  </w:style>
  <w:style w:type="character" w:customStyle="1" w:styleId="63">
    <w:name w:val="正文文本 Char1"/>
    <w:link w:val="15"/>
    <w:qFormat/>
    <w:uiPriority w:val="0"/>
    <w:rPr>
      <w:rFonts w:ascii="Times New Roman" w:hAnsi="Times New Roman"/>
      <w:kern w:val="2"/>
      <w:sz w:val="21"/>
      <w:szCs w:val="24"/>
    </w:rPr>
  </w:style>
  <w:style w:type="character" w:customStyle="1" w:styleId="64">
    <w:name w:val="apple-style-span"/>
    <w:qFormat/>
    <w:uiPriority w:val="0"/>
  </w:style>
  <w:style w:type="character" w:customStyle="1" w:styleId="65">
    <w:name w:val="正文文本缩进 Char"/>
    <w:link w:val="3"/>
    <w:qFormat/>
    <w:uiPriority w:val="0"/>
    <w:rPr>
      <w:rFonts w:ascii="仿宋_GB2312" w:hAnsi="Times New Roman" w:eastAsia="仿宋_GB2312" w:cs="Times New Roman"/>
      <w:sz w:val="32"/>
      <w:szCs w:val="20"/>
    </w:rPr>
  </w:style>
  <w:style w:type="character" w:customStyle="1" w:styleId="66">
    <w:name w:val="标题 5 Char"/>
    <w:link w:val="8"/>
    <w:semiHidden/>
    <w:qFormat/>
    <w:uiPriority w:val="9"/>
    <w:rPr>
      <w:rFonts w:ascii="Times New Roman" w:hAnsi="Times New Roman"/>
      <w:b/>
      <w:bCs/>
      <w:kern w:val="2"/>
      <w:sz w:val="28"/>
      <w:szCs w:val="28"/>
    </w:rPr>
  </w:style>
  <w:style w:type="character" w:customStyle="1" w:styleId="67">
    <w:name w:val="批注文字 字符1"/>
    <w:qFormat/>
    <w:uiPriority w:val="0"/>
    <w:rPr>
      <w:rFonts w:ascii="Times New Roman" w:hAnsi="Times New Roman"/>
      <w:kern w:val="2"/>
      <w:sz w:val="21"/>
      <w:szCs w:val="24"/>
    </w:rPr>
  </w:style>
  <w:style w:type="character" w:customStyle="1" w:styleId="68">
    <w:name w:val="纯文本 Char"/>
    <w:qFormat/>
    <w:uiPriority w:val="0"/>
    <w:rPr>
      <w:rFonts w:ascii="宋体" w:hAnsi="Courier New" w:eastAsia="宋体" w:cs="Courier New"/>
      <w:szCs w:val="21"/>
    </w:rPr>
  </w:style>
  <w:style w:type="character" w:customStyle="1" w:styleId="69">
    <w:name w:val="批注文字 Char1"/>
    <w:link w:val="13"/>
    <w:qFormat/>
    <w:uiPriority w:val="0"/>
    <w:rPr>
      <w:rFonts w:ascii="Times New Roman" w:hAnsi="Times New Roman" w:eastAsia="宋体" w:cs="Times New Roman"/>
      <w:kern w:val="2"/>
      <w:sz w:val="21"/>
      <w:szCs w:val="24"/>
      <w:lang w:val="en-US" w:eastAsia="zh-CN" w:bidi="ar-SA"/>
    </w:rPr>
  </w:style>
  <w:style w:type="character" w:customStyle="1" w:styleId="70">
    <w:name w:val="正文文本 Char"/>
    <w:qFormat/>
    <w:uiPriority w:val="0"/>
    <w:rPr>
      <w:rFonts w:ascii="Times New Roman" w:hAnsi="Times New Roman"/>
      <w:kern w:val="2"/>
      <w:sz w:val="21"/>
      <w:szCs w:val="24"/>
    </w:rPr>
  </w:style>
  <w:style w:type="character" w:customStyle="1" w:styleId="71">
    <w:name w:val="prev"/>
    <w:basedOn w:val="33"/>
    <w:qFormat/>
    <w:uiPriority w:val="0"/>
    <w:rPr>
      <w:rFonts w:ascii="微软雅黑" w:hAnsi="微软雅黑" w:eastAsia="微软雅黑" w:cs="微软雅黑"/>
      <w:sz w:val="21"/>
      <w:szCs w:val="21"/>
    </w:rPr>
  </w:style>
  <w:style w:type="character" w:customStyle="1" w:styleId="72">
    <w:name w:val="next"/>
    <w:basedOn w:val="33"/>
    <w:qFormat/>
    <w:uiPriority w:val="0"/>
    <w:rPr>
      <w:rFonts w:hint="eastAsia" w:ascii="微软雅黑" w:hAnsi="微软雅黑" w:eastAsia="微软雅黑" w:cs="微软雅黑"/>
      <w:sz w:val="21"/>
      <w:szCs w:val="21"/>
    </w:rPr>
  </w:style>
  <w:style w:type="character" w:customStyle="1" w:styleId="73">
    <w:name w:val="next1"/>
    <w:basedOn w:val="33"/>
    <w:qFormat/>
    <w:uiPriority w:val="0"/>
    <w:rPr>
      <w:color w:val="888888"/>
    </w:rPr>
  </w:style>
  <w:style w:type="character" w:customStyle="1" w:styleId="74">
    <w:name w:val="cfdate"/>
    <w:basedOn w:val="33"/>
    <w:qFormat/>
    <w:uiPriority w:val="0"/>
    <w:rPr>
      <w:color w:val="333333"/>
      <w:sz w:val="18"/>
      <w:szCs w:val="18"/>
    </w:rPr>
  </w:style>
  <w:style w:type="character" w:customStyle="1" w:styleId="75">
    <w:name w:val="qxdate"/>
    <w:basedOn w:val="33"/>
    <w:qFormat/>
    <w:uiPriority w:val="0"/>
    <w:rPr>
      <w:color w:val="333333"/>
      <w:sz w:val="18"/>
      <w:szCs w:val="18"/>
    </w:rPr>
  </w:style>
  <w:style w:type="character" w:customStyle="1" w:styleId="76">
    <w:name w:val="displayarti"/>
    <w:basedOn w:val="33"/>
    <w:qFormat/>
    <w:uiPriority w:val="0"/>
    <w:rPr>
      <w:color w:val="FFFFFF"/>
      <w:shd w:val="clear" w:fill="A00000"/>
    </w:rPr>
  </w:style>
  <w:style w:type="character" w:customStyle="1" w:styleId="77">
    <w:name w:val="redfilefwwh"/>
    <w:basedOn w:val="33"/>
    <w:qFormat/>
    <w:uiPriority w:val="0"/>
    <w:rPr>
      <w:color w:val="BA2636"/>
      <w:sz w:val="18"/>
      <w:szCs w:val="18"/>
    </w:rPr>
  </w:style>
  <w:style w:type="character" w:customStyle="1" w:styleId="78">
    <w:name w:val="gjfg"/>
    <w:basedOn w:val="33"/>
    <w:qFormat/>
    <w:uiPriority w:val="0"/>
  </w:style>
  <w:style w:type="character" w:customStyle="1" w:styleId="79">
    <w:name w:val="redfilenumber"/>
    <w:basedOn w:val="33"/>
    <w:qFormat/>
    <w:uiPriority w:val="0"/>
    <w:rPr>
      <w:color w:val="BA2636"/>
      <w:sz w:val="18"/>
      <w:szCs w:val="18"/>
    </w:rPr>
  </w:style>
  <w:style w:type="character" w:customStyle="1" w:styleId="80">
    <w:name w:val="prev2"/>
    <w:basedOn w:val="33"/>
    <w:qFormat/>
    <w:uiPriority w:val="0"/>
    <w:rPr>
      <w:color w:val="888888"/>
    </w:rPr>
  </w:style>
  <w:style w:type="character" w:customStyle="1" w:styleId="81">
    <w:name w:val="prev3"/>
    <w:basedOn w:val="33"/>
    <w:qFormat/>
    <w:uiPriority w:val="0"/>
    <w:rPr>
      <w:rFonts w:hint="eastAsia" w:ascii="微软雅黑" w:hAnsi="微软雅黑" w:eastAsia="微软雅黑" w:cs="微软雅黑"/>
      <w:sz w:val="21"/>
      <w:szCs w:val="21"/>
    </w:rPr>
  </w:style>
  <w:style w:type="character" w:customStyle="1" w:styleId="82">
    <w:name w:val="NormalCharacter"/>
    <w:qFormat/>
    <w:uiPriority w:val="0"/>
    <w:rPr>
      <w:rFonts w:ascii="Calibri" w:hAnsi="Calibri"/>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67</Pages>
  <Words>18844</Words>
  <Characters>20229</Characters>
  <Lines>424</Lines>
  <Paragraphs>119</Paragraphs>
  <TotalTime>21</TotalTime>
  <ScaleCrop>false</ScaleCrop>
  <LinksUpToDate>false</LinksUpToDate>
  <CharactersWithSpaces>20685</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2023-08-11T16:26:00Z</dcterms:created>
  <dc:creator>user</dc:creator>
  <cp:lastModifiedBy>A</cp:lastModifiedBy>
  <cp:lastPrinted>2025-05-26T08:36:00Z</cp:lastPrinted>
  <dcterms:modified xsi:type="dcterms:W3CDTF">2025-06-11T09:32:46Z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0D6C39AF421449F88BA4291AB690E6E3_13</vt:lpwstr>
  </property>
  <property fmtid="{D5CDD505-2E9C-101B-9397-08002B2CF9AE}" pid="4" name="KSOTemplateDocerSaveRecord">
    <vt:lpwstr>eyJoZGlkIjoiYWFlZTU0Y2YwYTM0ZGU0OGUwZjBkZGU1ODc1NmU4YWQiLCJ1c2VySWQiOiIzOTAxMDA1NDAifQ==</vt:lpwstr>
  </property>
</Properties>
</file>